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84" w:rsidRDefault="000C2384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ГРОДНЕНСКОГО ОБЛАСТНОГО СОВЕТА ДЕПУТАТОВ</w:t>
      </w:r>
    </w:p>
    <w:p w:rsidR="000C2384" w:rsidRDefault="000C2384">
      <w:pPr>
        <w:pStyle w:val="newncpi"/>
        <w:ind w:firstLine="0"/>
        <w:jc w:val="center"/>
      </w:pPr>
      <w:r>
        <w:rPr>
          <w:rStyle w:val="datepr"/>
        </w:rPr>
        <w:t>27 декабря 2012 г.</w:t>
      </w:r>
      <w:r>
        <w:rPr>
          <w:rStyle w:val="number"/>
        </w:rPr>
        <w:t xml:space="preserve"> № 206</w:t>
      </w:r>
    </w:p>
    <w:p w:rsidR="000C2384" w:rsidRDefault="000C2384">
      <w:pPr>
        <w:pStyle w:val="title"/>
      </w:pPr>
      <w:r>
        <w:t>Об утверждении Инструкции о порядке проведения открытого конкурсного отбора и ведомственной научно-технической экспертизы проектов (работ, мероприятий), предлагаемых для финансирования с привлечением средств инновационного фонда Гродненского областного исполнительного комитета, и внесении изменения в решение Гродненского областного Совета депутатов от 27 сентября 2012 г. № 181</w:t>
      </w:r>
    </w:p>
    <w:p w:rsidR="000C2384" w:rsidRDefault="000C2384">
      <w:pPr>
        <w:pStyle w:val="changei"/>
      </w:pPr>
      <w:r>
        <w:t>Изменения и дополнения:</w:t>
      </w:r>
    </w:p>
    <w:p w:rsidR="000C2384" w:rsidRDefault="000C2384">
      <w:pPr>
        <w:pStyle w:val="changeadd"/>
      </w:pPr>
      <w:r>
        <w:t>Решение Гродненского областного Совета депутатов от 6 августа 2015 г. № 85 (Национальный правовой Интернет-портал Республики Беларусь, 02.09.2015, 9/72386) &lt;D915r0072386&gt;;</w:t>
      </w:r>
    </w:p>
    <w:p w:rsidR="000C2384" w:rsidRDefault="000C2384">
      <w:pPr>
        <w:pStyle w:val="changeadd"/>
      </w:pPr>
      <w:r>
        <w:t>Решение Гродненского областного Совета депутатов от 27 декабря 2016 г. № 201 (Национальный правовой Интернет-портал Республики Беларусь, 01.03.2017, 9/82013) &lt;D917r0082013&gt;</w:t>
      </w:r>
    </w:p>
    <w:p w:rsidR="000C2384" w:rsidRDefault="000C2384">
      <w:pPr>
        <w:pStyle w:val="newncpi"/>
      </w:pPr>
      <w:r>
        <w:t> </w:t>
      </w:r>
    </w:p>
    <w:p w:rsidR="000C2384" w:rsidRDefault="000C2384">
      <w:pPr>
        <w:pStyle w:val="preamble"/>
      </w:pPr>
      <w:r>
        <w:t>На основании пункта 1 статьи 13 Закона Республики Беларусь от 4 января 2010 года «О местном управлении и самоуправлении в Республике Беларусь» и части четвертой пункта 7 Положения о порядке формирования и использования средств инновационных фондов, утвержденного Указом Президента Республики Беларусь от 7 августа 2012 г. № 357, Гродненский областной Совет депутатов РЕШИЛ:</w:t>
      </w:r>
    </w:p>
    <w:p w:rsidR="000C2384" w:rsidRDefault="000C2384">
      <w:pPr>
        <w:pStyle w:val="point"/>
      </w:pPr>
      <w:r>
        <w:t>1. Утвердить прилагаемую Инструкцию о порядке проведения открытого конкурсного отбора и ведомственной научно-технической экспертизы проектов (работ, мероприятий), предлагаемых для финансирования с привлечением средств инновационного фонда Гродненского областного исполнительного комитета.</w:t>
      </w:r>
    </w:p>
    <w:p w:rsidR="000C2384" w:rsidRDefault="000C2384">
      <w:pPr>
        <w:pStyle w:val="point"/>
      </w:pPr>
      <w:r>
        <w:t>2. Исключен.</w:t>
      </w:r>
    </w:p>
    <w:p w:rsidR="000C2384" w:rsidRDefault="000C2384">
      <w:pPr>
        <w:pStyle w:val="point"/>
      </w:pPr>
      <w:r>
        <w:t>3. Обнародовать (опубликовать) настоящее решение в газете «Гродзенская праўда».</w:t>
      </w:r>
    </w:p>
    <w:p w:rsidR="000C2384" w:rsidRDefault="000C2384">
      <w:pPr>
        <w:pStyle w:val="point"/>
      </w:pPr>
      <w:r>
        <w:t>4. Настоящее решение вступает в силу после его официального опубликования.</w:t>
      </w:r>
    </w:p>
    <w:p w:rsidR="000C2384" w:rsidRDefault="000C2384">
      <w:pPr>
        <w:pStyle w:val="newncpi"/>
      </w:pPr>
      <w:r>
        <w:t> </w:t>
      </w:r>
    </w:p>
    <w:tbl>
      <w:tblPr>
        <w:tblStyle w:val="tablencpi"/>
        <w:tblW w:w="5000" w:type="pct"/>
        <w:tblLook w:val="0000"/>
      </w:tblPr>
      <w:tblGrid>
        <w:gridCol w:w="4683"/>
        <w:gridCol w:w="4683"/>
      </w:tblGrid>
      <w:tr w:rsidR="000C238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C2384" w:rsidRDefault="000C2384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C2384" w:rsidRDefault="000C2384">
            <w:pPr>
              <w:pStyle w:val="newncpi0"/>
              <w:jc w:val="right"/>
            </w:pPr>
            <w:r>
              <w:rPr>
                <w:rStyle w:val="pers"/>
              </w:rPr>
              <w:t>Б.И.Богданец</w:t>
            </w:r>
          </w:p>
        </w:tc>
      </w:tr>
    </w:tbl>
    <w:p w:rsidR="000C2384" w:rsidRDefault="000C2384">
      <w:pPr>
        <w:pStyle w:val="newncpi"/>
      </w:pPr>
      <w:r>
        <w:t> </w:t>
      </w:r>
    </w:p>
    <w:tbl>
      <w:tblPr>
        <w:tblStyle w:val="tablencpi"/>
        <w:tblW w:w="5000" w:type="pct"/>
        <w:tblLook w:val="0000"/>
      </w:tblPr>
      <w:tblGrid>
        <w:gridCol w:w="6729"/>
        <w:gridCol w:w="2637"/>
      </w:tblGrid>
      <w:tr w:rsidR="000C2384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C2384" w:rsidRDefault="000C2384">
            <w:pPr>
              <w:pStyle w:val="newncpi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C2384" w:rsidRDefault="000C2384">
            <w:pPr>
              <w:pStyle w:val="capu1"/>
            </w:pPr>
            <w:r>
              <w:t>УТВЕРЖДЕНО</w:t>
            </w:r>
          </w:p>
          <w:p w:rsidR="000C2384" w:rsidRDefault="000C2384">
            <w:pPr>
              <w:pStyle w:val="cap1"/>
            </w:pPr>
            <w:r>
              <w:t>Решение</w:t>
            </w:r>
            <w:r>
              <w:br/>
              <w:t>Гродненского областного</w:t>
            </w:r>
            <w:r>
              <w:br/>
              <w:t>Совета депутатов</w:t>
            </w:r>
            <w:r>
              <w:br/>
              <w:t>27.12.2012 № 206</w:t>
            </w:r>
            <w:r>
              <w:br/>
              <w:t>(в редакции решения</w:t>
            </w:r>
            <w:r>
              <w:br/>
              <w:t>Гродненского областного</w:t>
            </w:r>
            <w:r>
              <w:br/>
              <w:t>Совета депутатов</w:t>
            </w:r>
            <w:r>
              <w:br/>
              <w:t>27.12.2016 № 201)</w:t>
            </w:r>
          </w:p>
        </w:tc>
      </w:tr>
    </w:tbl>
    <w:p w:rsidR="000C2384" w:rsidRDefault="000C2384">
      <w:pPr>
        <w:pStyle w:val="titleu"/>
      </w:pPr>
      <w:r>
        <w:t>ИНСТРУКЦИЯ</w:t>
      </w:r>
      <w:r>
        <w:br/>
        <w:t>о порядке проведения открытого конкурсного отбора и ведомственной научно-технической экспертизы проектов (работ, мероприятий), представляемых для финансирования с привлечением средств инновационного фонда Гродненского областного исполнительного комитета</w:t>
      </w:r>
    </w:p>
    <w:p w:rsidR="000C2384" w:rsidRDefault="000C2384">
      <w:pPr>
        <w:pStyle w:val="point"/>
      </w:pPr>
      <w:r>
        <w:t>1. Настоящая Инструкция определяет порядок проведения открытого конкурсного отбора и ведомственной научно-технической экспертизы проектов (работ, мероприятий), представляемых для финансирования с привлечением средств инновационного фонда Гродненского областного исполнительного комитета (далее – инновационный фонд).</w:t>
      </w:r>
    </w:p>
    <w:p w:rsidR="000C2384" w:rsidRDefault="000C2384">
      <w:pPr>
        <w:pStyle w:val="point"/>
      </w:pPr>
      <w:r>
        <w:lastRenderedPageBreak/>
        <w:t>2. Для организации и проведения открытого конкурсного отбора (далее – конкурсный отбор) в Гродненском областном исполнительном комитете (далее – облисполком) создается конкурсная комиссия, положение о которой, ее численность и персональный состав утверждаются председателем облисполкома.</w:t>
      </w:r>
    </w:p>
    <w:p w:rsidR="000C2384" w:rsidRDefault="000C2384">
      <w:pPr>
        <w:pStyle w:val="point"/>
      </w:pPr>
      <w:r>
        <w:t>3. Объявление о проведении конкурсного отбора размещается в глобальной компьютерной сети Интернет на официальном сайте облисполкома.</w:t>
      </w:r>
    </w:p>
    <w:p w:rsidR="000C2384" w:rsidRDefault="000C2384">
      <w:pPr>
        <w:pStyle w:val="point"/>
      </w:pPr>
      <w:r>
        <w:t>4. В конкурсном отборе могут принимать участие:</w:t>
      </w:r>
    </w:p>
    <w:p w:rsidR="000C2384" w:rsidRDefault="000C2384">
      <w:pPr>
        <w:pStyle w:val="newncpi"/>
      </w:pPr>
      <w:r>
        <w:t>организации, указанные в пункте 17 Положения о порядке формирования и использования средств инновационных фондов, утвержденного Указом Президента Республики Беларусь от 7 августа 2012 г. № 357 (Национальный правовой Интернет-портал Республики Беларусь, 09.08.2012, 1/13679; 30.11.2016, 1/16753);</w:t>
      </w:r>
    </w:p>
    <w:p w:rsidR="000C2384" w:rsidRDefault="000C2384">
      <w:pPr>
        <w:pStyle w:val="newncpi"/>
      </w:pPr>
      <w:r>
        <w:t>иные организации Республики Беларусь, реализующие (выполняющие) проекты (работы, мероприятия), указанные в части первой пункта 10 Положения о порядке формирования и использования средств инновационных фондов, с привлечением средств республиканского централизованного инновационного фонда.</w:t>
      </w:r>
    </w:p>
    <w:p w:rsidR="000C2384" w:rsidRDefault="000C2384">
      <w:pPr>
        <w:pStyle w:val="point"/>
      </w:pPr>
      <w:r>
        <w:t>5. Для участия в конкурсном отборе организации, указанные в пункте 4 настоящей Инструкции (далее – участники конкурсного отбора), в сроки, определяемые конкурсной комиссией, представляют в закрытых конвертах заявку и следующие документы:</w:t>
      </w:r>
    </w:p>
    <w:p w:rsidR="000C2384" w:rsidRDefault="000C2384">
      <w:pPr>
        <w:pStyle w:val="newncpi"/>
      </w:pPr>
      <w:r>
        <w:t>для реализации инновационных проектов, выполняемых в рамках государственной программы инновационного развития Республики Беларусь, – бизнес-планы, подготовленные в соответствии с требованиями, установленными законодательством для бизнес-планов инвестиционных проектов, заключение по проекту (бизнес-плану проекта);</w:t>
      </w:r>
    </w:p>
    <w:p w:rsidR="000C2384" w:rsidRDefault="000C2384">
      <w:pPr>
        <w:pStyle w:val="newncpi"/>
      </w:pPr>
      <w:r>
        <w:t>для выполнения научно-исследовательских, опытно-конструкторских и опытно-технологических работ, обеспечивающих создание новой продукции, новых (усовершенствованных) технологий, новых услуг для Республики Беларусь, – технико-экономическое обоснование и (или) иные документы, связанные с выполнением работ;</w:t>
      </w:r>
    </w:p>
    <w:p w:rsidR="000C2384" w:rsidRDefault="000C2384">
      <w:pPr>
        <w:pStyle w:val="newncpi"/>
      </w:pPr>
      <w:r>
        <w:t>для организации деятельности и развития материально-технической базы, включая капитальные расходы, субъектов инновационной инфраструктуры – бизнес-проекты, подготовленные в соответствии с требованиями, установленными законодательством, копию решения о регистрации (продлении срока регистрации) юридического лица в качестве субъекта инновационной инфраструктуры (при наличии), копию заключения экспертизы бизнес-проекта в случае проведения ее в порядке, установленном Положением о порядке создания субъектов инновационной инфраструктуры, утвержденным Указом Президента Республики Беларусь от 3 января 2007 г. № 1 (Национальный реестр правовых актов Республики Беларусь, 2007 г., № 5, 1/8230);</w:t>
      </w:r>
    </w:p>
    <w:p w:rsidR="000C2384" w:rsidRDefault="000C2384">
      <w:pPr>
        <w:pStyle w:val="newncpi"/>
      </w:pPr>
      <w:r>
        <w:t>для развития материально-технической базы, включая капитальные расходы, отраслевых лабораторий – обоснование необходимости развития материально-технической базы, включая капитальные расходы, с приложением перечня необходимого оборудования (работ, услуг), согласованное с заинтересованным государственным органом (организацией);</w:t>
      </w:r>
    </w:p>
    <w:p w:rsidR="000C2384" w:rsidRDefault="000C2384">
      <w:pPr>
        <w:pStyle w:val="newncpi"/>
      </w:pPr>
      <w:r>
        <w:t>для проведения научных и научно-практических конференций, семинаров, симпозиумов, выставок научно-технических достижений, подготовки и издания научно-технической и научно-методической литературы – технико-экономическое обоснование и иные документы (при наличии), связанные с проведением мероприятий.</w:t>
      </w:r>
    </w:p>
    <w:p w:rsidR="000C2384" w:rsidRDefault="000C2384">
      <w:pPr>
        <w:pStyle w:val="newncpi"/>
      </w:pPr>
      <w:r>
        <w:t>Участники конкурсного отбора вправе прилагать дополнительные документы, в том числе информационно-справочные материалы, связанные с выполнением представляемых проектов (работ, мероприятий).</w:t>
      </w:r>
    </w:p>
    <w:p w:rsidR="000C2384" w:rsidRDefault="000C2384">
      <w:pPr>
        <w:pStyle w:val="point"/>
      </w:pPr>
      <w:r>
        <w:t>6. Документы, не соответствующие требованиям пункта 5 настоящей Инструкции, а также содержащие неполную и (или) недостоверную информацию, для участия в конкурсном отборе не допускаются. При необходимости может быть запрошена уточненная информация от участников конкурсного отбора.</w:t>
      </w:r>
    </w:p>
    <w:p w:rsidR="000C2384" w:rsidRDefault="000C2384">
      <w:pPr>
        <w:pStyle w:val="point"/>
      </w:pPr>
      <w:r>
        <w:t>7. До проведения конкурсного отбора проектов (работ, мероприятий), указанных в абзацах втором–пятом части первой пункта 5 настоящей Инструкции, проводится ведомственная научно-техническая экспертиза.</w:t>
      </w:r>
    </w:p>
    <w:p w:rsidR="000C2384" w:rsidRDefault="000C2384">
      <w:pPr>
        <w:pStyle w:val="newncpi"/>
      </w:pPr>
      <w:r>
        <w:t xml:space="preserve">Для проведения ведомственной научно-технической экспертизы в облисполкоме создается экспертная комиссия, положение о которой, ее численность и персональный </w:t>
      </w:r>
      <w:r>
        <w:lastRenderedPageBreak/>
        <w:t>состав утверждаются председателем облисполкома. При необходимости к работе экспертной комиссии могут привлекаться иные специалисты структурных подразделений облисполкома и представители других организаций с согласия их руководителей.</w:t>
      </w:r>
    </w:p>
    <w:p w:rsidR="000C2384" w:rsidRDefault="000C2384">
      <w:pPr>
        <w:pStyle w:val="newncpi"/>
      </w:pPr>
      <w:r>
        <w:t>Не допускается привлечение к работе экспертной комиссии (за исключением членов экспертной комиссии) работников участников конкурсного отбора.</w:t>
      </w:r>
    </w:p>
    <w:p w:rsidR="000C2384" w:rsidRDefault="000C2384">
      <w:pPr>
        <w:pStyle w:val="newncpi"/>
      </w:pPr>
      <w:r>
        <w:t>Экспертной комиссией осуществляется вскрытие поступивших для участия в конкурсном отборе конвертов в течение трех рабочих дней после окончания срока для их подачи.</w:t>
      </w:r>
    </w:p>
    <w:p w:rsidR="000C2384" w:rsidRDefault="000C2384">
      <w:pPr>
        <w:pStyle w:val="newncpi"/>
      </w:pPr>
      <w:r>
        <w:t>Проведение ведомственной научно-технической экспертизы проектов (работ, мероприятий) осуществляется в течение десяти рабочих дней после вскрытия поступивших для участия в конкурсном отборе конвертов.</w:t>
      </w:r>
    </w:p>
    <w:p w:rsidR="000C2384" w:rsidRDefault="000C2384">
      <w:pPr>
        <w:pStyle w:val="point"/>
      </w:pPr>
      <w:r>
        <w:t>8. При проведении ведомственной научно-технической экспертизы проекты (работы, мероприятия) оцениваются на соответствие критериям, установленным пунктом 4 Положения о порядке формирования и использования средств инновационных фондов.</w:t>
      </w:r>
    </w:p>
    <w:p w:rsidR="000C2384" w:rsidRDefault="000C2384">
      <w:pPr>
        <w:pStyle w:val="point"/>
      </w:pPr>
      <w:r>
        <w:t>9. Заключение ведомственной научно-технической экспертизы проектов (работ, мероприятий) оформляется экспертной комиссией в виде подписываемого членами экспертной комиссии протокола, который считается принятым, если за него проголосовало большинство членов экспертной комиссии.</w:t>
      </w:r>
    </w:p>
    <w:p w:rsidR="000C2384" w:rsidRDefault="000C2384">
      <w:pPr>
        <w:pStyle w:val="point"/>
      </w:pPr>
      <w:r>
        <w:t>10. Конкурсный отбор проводится:</w:t>
      </w:r>
    </w:p>
    <w:p w:rsidR="000C2384" w:rsidRDefault="000C2384">
      <w:pPr>
        <w:pStyle w:val="newncpi"/>
      </w:pPr>
      <w:r>
        <w:t>в отношении проектов (работ, мероприятий), указанных в абзацах втором–пятом части первой пункта 5 настоящей Инструкции, – в течение 10 рабочих дней после проведения ведомственной научно-технической экспертизы с учетом ее результатов;</w:t>
      </w:r>
    </w:p>
    <w:p w:rsidR="000C2384" w:rsidRDefault="000C2384">
      <w:pPr>
        <w:pStyle w:val="newncpi"/>
      </w:pPr>
      <w:r>
        <w:t>в отношении работ, мероприятий, указанных в абзаце шестом части первой пункта 5 настоящей Инструкции, – в течение 20 рабочих дней после вскрытия поступивших для участия в конкурсном отборе конвертов.</w:t>
      </w:r>
    </w:p>
    <w:p w:rsidR="000C2384" w:rsidRDefault="000C2384">
      <w:pPr>
        <w:pStyle w:val="point"/>
      </w:pPr>
      <w:r>
        <w:t>11. Конкурсная комиссия при осуществлении конкурсного отбора определяет претендентов в победители по итогам конкурсного отбора.</w:t>
      </w:r>
    </w:p>
    <w:p w:rsidR="000C2384" w:rsidRDefault="000C2384">
      <w:pPr>
        <w:pStyle w:val="newncpi"/>
      </w:pPr>
      <w:r>
        <w:t>Конкурсный отбор проектов (работ, мероприятий), в отношении которых после проведения ведомственной научно-технической экспертизы в соответствии с законодательством требуется проведение государственной научно-технической экспертизы, осуществляется по итогам ее проведения.</w:t>
      </w:r>
    </w:p>
    <w:p w:rsidR="000C2384" w:rsidRDefault="000C2384">
      <w:pPr>
        <w:pStyle w:val="point"/>
      </w:pPr>
      <w:r>
        <w:t>12. Решение конкурсной комиссии о целесообразности финансирования проектов (работ, мероприятий) принимается путем открытого голосования простым большинством голосов. Решение конкурсной комиссии оформляется протоколом, который подписывается членами конкурсной комиссии.</w:t>
      </w:r>
    </w:p>
    <w:p w:rsidR="000C2384" w:rsidRDefault="000C2384">
      <w:pPr>
        <w:pStyle w:val="point"/>
      </w:pPr>
      <w:r>
        <w:t>13. Проекты (работы, мероприятия), прошедшие конкурсный отбор, представляются на рассмотрение облисполкома для принятия решения о финансировании.</w:t>
      </w:r>
    </w:p>
    <w:sectPr w:rsidR="000C2384" w:rsidSect="009A249A">
      <w:headerReference w:type="even" r:id="rId6"/>
      <w:headerReference w:type="default" r:id="rId7"/>
      <w:pgSz w:w="11906" w:h="16838"/>
      <w:pgMar w:top="567" w:right="1134" w:bottom="56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01E" w:rsidRDefault="0031301E">
      <w:r>
        <w:separator/>
      </w:r>
    </w:p>
  </w:endnote>
  <w:endnote w:type="continuationSeparator" w:id="0">
    <w:p w:rsidR="0031301E" w:rsidRDefault="0031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01E" w:rsidRDefault="0031301E">
      <w:r>
        <w:separator/>
      </w:r>
    </w:p>
  </w:footnote>
  <w:footnote w:type="continuationSeparator" w:id="0">
    <w:p w:rsidR="0031301E" w:rsidRDefault="00313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9A" w:rsidRDefault="009A249A" w:rsidP="003130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249A" w:rsidRDefault="009A24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9A" w:rsidRDefault="009A249A" w:rsidP="003130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7DFB">
      <w:rPr>
        <w:rStyle w:val="a6"/>
        <w:noProof/>
      </w:rPr>
      <w:t>3</w:t>
    </w:r>
    <w:r>
      <w:rPr>
        <w:rStyle w:val="a6"/>
      </w:rPr>
      <w:fldChar w:fldCharType="end"/>
    </w:r>
  </w:p>
  <w:p w:rsidR="009A249A" w:rsidRDefault="009A24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CA3"/>
    <w:rsid w:val="000C2384"/>
    <w:rsid w:val="0031301E"/>
    <w:rsid w:val="00337DFB"/>
    <w:rsid w:val="004A7CA3"/>
    <w:rsid w:val="004E6ADF"/>
    <w:rsid w:val="009A249A"/>
    <w:rsid w:val="00C1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mappoint:smarttags"/>
  <w:attachedSchema w:val="http://mycoolplace.com"/>
  <w:attachedSchema w:val="urn:schemas-microsoft-com:xslt"/>
  <w:attachedSchema w:val="http://exslt.org/common"/>
  <w:attachedSchema w:val="urn:my-scrip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154C94"/>
      <w:u w:val="single"/>
    </w:rPr>
  </w:style>
  <w:style w:type="character" w:styleId="a4">
    <w:name w:val="FollowedHyperlink"/>
    <w:basedOn w:val="a0"/>
    <w:rPr>
      <w:color w:val="154C94"/>
      <w:u w:val="single"/>
    </w:rPr>
  </w:style>
  <w:style w:type="paragraph" w:customStyle="1" w:styleId="part">
    <w:name w:val="part"/>
    <w:basedOn w:val="a"/>
    <w:pPr>
      <w:spacing w:before="240" w:after="24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after="240"/>
      <w:ind w:left="1922" w:hanging="1355"/>
    </w:pPr>
    <w:rPr>
      <w:b/>
      <w:bCs/>
    </w:rPr>
  </w:style>
  <w:style w:type="paragraph" w:customStyle="1" w:styleId="title">
    <w:name w:val="title"/>
    <w:basedOn w:val="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pPr>
      <w:jc w:val="center"/>
    </w:pPr>
    <w:rPr>
      <w:b/>
      <w:bCs/>
    </w:rPr>
  </w:style>
  <w:style w:type="paragraph" w:customStyle="1" w:styleId="titlepr">
    <w:name w:val="titlepr"/>
    <w:basedOn w:val="a"/>
    <w:pPr>
      <w:jc w:val="center"/>
    </w:pPr>
    <w:rPr>
      <w:b/>
      <w:bCs/>
    </w:rPr>
  </w:style>
  <w:style w:type="paragraph" w:customStyle="1" w:styleId="agree">
    <w:name w:val="agree"/>
    <w:basedOn w:val="a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pPr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after="240"/>
    </w:pPr>
    <w:rPr>
      <w:b/>
      <w:bCs/>
    </w:rPr>
  </w:style>
  <w:style w:type="paragraph" w:customStyle="1" w:styleId="titlek">
    <w:name w:val="titlek"/>
    <w:basedOn w:val="a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Pr>
      <w:sz w:val="20"/>
      <w:szCs w:val="20"/>
    </w:r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paragraph" w:customStyle="1" w:styleId="signed">
    <w:name w:val="signed"/>
    <w:basedOn w:val="a"/>
    <w:pPr>
      <w:ind w:firstLine="567"/>
      <w:jc w:val="both"/>
    </w:pPr>
  </w:style>
  <w:style w:type="paragraph" w:customStyle="1" w:styleId="odobren">
    <w:name w:val="odobren"/>
    <w:basedOn w:val="a"/>
    <w:rPr>
      <w:sz w:val="22"/>
      <w:szCs w:val="22"/>
    </w:rPr>
  </w:style>
  <w:style w:type="paragraph" w:customStyle="1" w:styleId="odobren1">
    <w:name w:val="odobren1"/>
    <w:basedOn w:val="a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snoski">
    <w:name w:val="snoski"/>
    <w:basedOn w:val="a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numnrpa">
    <w:name w:val="numnrpa"/>
    <w:basedOn w:val="a"/>
    <w:rPr>
      <w:sz w:val="36"/>
      <w:szCs w:val="36"/>
    </w:rPr>
  </w:style>
  <w:style w:type="paragraph" w:customStyle="1" w:styleId="append">
    <w:name w:val="append"/>
    <w:basedOn w:val="a"/>
    <w:rPr>
      <w:sz w:val="22"/>
      <w:szCs w:val="22"/>
    </w:rPr>
  </w:style>
  <w:style w:type="paragraph" w:customStyle="1" w:styleId="prinodobren">
    <w:name w:val="prinodobren"/>
    <w:basedOn w:val="a"/>
    <w:pPr>
      <w:spacing w:before="240" w:after="240"/>
    </w:pPr>
    <w:rPr>
      <w:i/>
      <w:iCs/>
    </w:rPr>
  </w:style>
  <w:style w:type="paragraph" w:customStyle="1" w:styleId="spiski">
    <w:name w:val="spiski"/>
    <w:basedOn w:val="a"/>
  </w:style>
  <w:style w:type="paragraph" w:customStyle="1" w:styleId="nonumheader">
    <w:name w:val="nonumheader"/>
    <w:basedOn w:val="a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pPr>
      <w:ind w:left="1134" w:firstLine="567"/>
      <w:jc w:val="both"/>
    </w:pPr>
  </w:style>
  <w:style w:type="paragraph" w:customStyle="1" w:styleId="changei">
    <w:name w:val="changei"/>
    <w:basedOn w:val="a"/>
    <w:pPr>
      <w:ind w:left="1021"/>
    </w:pPr>
  </w:style>
  <w:style w:type="paragraph" w:customStyle="1" w:styleId="changeutrs">
    <w:name w:val="changeutrs"/>
    <w:basedOn w:val="a"/>
    <w:pPr>
      <w:spacing w:after="240"/>
      <w:ind w:left="1134"/>
      <w:jc w:val="both"/>
    </w:pPr>
  </w:style>
  <w:style w:type="paragraph" w:customStyle="1" w:styleId="changeold">
    <w:name w:val="changeold"/>
    <w:basedOn w:val="a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pPr>
      <w:spacing w:after="28"/>
    </w:pPr>
    <w:rPr>
      <w:sz w:val="22"/>
      <w:szCs w:val="22"/>
    </w:rPr>
  </w:style>
  <w:style w:type="paragraph" w:customStyle="1" w:styleId="cap1">
    <w:name w:val="cap1"/>
    <w:basedOn w:val="a"/>
    <w:rPr>
      <w:sz w:val="22"/>
      <w:szCs w:val="22"/>
    </w:rPr>
  </w:style>
  <w:style w:type="paragraph" w:customStyle="1" w:styleId="capu1">
    <w:name w:val="capu1"/>
    <w:basedOn w:val="a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newncpi0">
    <w:name w:val="newncpi0"/>
    <w:basedOn w:val="a"/>
    <w:pPr>
      <w:jc w:val="both"/>
    </w:pPr>
  </w:style>
  <w:style w:type="paragraph" w:customStyle="1" w:styleId="newncpi1">
    <w:name w:val="newncpi1"/>
    <w:basedOn w:val="a"/>
    <w:pPr>
      <w:ind w:left="567"/>
      <w:jc w:val="both"/>
    </w:pPr>
  </w:style>
  <w:style w:type="paragraph" w:customStyle="1" w:styleId="edizmeren">
    <w:name w:val="edizmeren"/>
    <w:basedOn w:val="a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jc w:val="center"/>
    </w:pPr>
  </w:style>
  <w:style w:type="paragraph" w:customStyle="1" w:styleId="primer">
    <w:name w:val="primer"/>
    <w:basedOn w:val="a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pPr>
      <w:ind w:firstLine="567"/>
      <w:jc w:val="both"/>
    </w:pPr>
  </w:style>
  <w:style w:type="paragraph" w:customStyle="1" w:styleId="withoutpar">
    <w:name w:val="withoutpar"/>
    <w:basedOn w:val="a"/>
    <w:pPr>
      <w:spacing w:after="60"/>
      <w:jc w:val="both"/>
    </w:pPr>
  </w:style>
  <w:style w:type="paragraph" w:customStyle="1" w:styleId="undline">
    <w:name w:val="undline"/>
    <w:basedOn w:val="a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ind w:left="1134"/>
      <w:jc w:val="both"/>
    </w:pPr>
  </w:style>
  <w:style w:type="paragraph" w:customStyle="1" w:styleId="ncpidel">
    <w:name w:val="ncpidel"/>
    <w:basedOn w:val="a"/>
    <w:pPr>
      <w:ind w:left="1134" w:firstLine="567"/>
      <w:jc w:val="both"/>
    </w:pPr>
  </w:style>
  <w:style w:type="paragraph" w:customStyle="1" w:styleId="tsifra">
    <w:name w:val="tsifra"/>
    <w:basedOn w:val="a"/>
    <w:rPr>
      <w:b/>
      <w:bCs/>
      <w:sz w:val="36"/>
      <w:szCs w:val="36"/>
    </w:rPr>
  </w:style>
  <w:style w:type="paragraph" w:customStyle="1" w:styleId="articleintext">
    <w:name w:val="articleintext"/>
    <w:basedOn w:val="a"/>
    <w:pPr>
      <w:ind w:firstLine="567"/>
      <w:jc w:val="both"/>
    </w:pPr>
  </w:style>
  <w:style w:type="paragraph" w:customStyle="1" w:styleId="newncpiv">
    <w:name w:val="newncpiv"/>
    <w:basedOn w:val="a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after="240"/>
    </w:pPr>
  </w:style>
  <w:style w:type="paragraph" w:customStyle="1" w:styleId="recepient">
    <w:name w:val="recepient"/>
    <w:basedOn w:val="a"/>
    <w:pPr>
      <w:ind w:left="5103"/>
    </w:pPr>
  </w:style>
  <w:style w:type="paragraph" w:customStyle="1" w:styleId="doklad">
    <w:name w:val="doklad"/>
    <w:basedOn w:val="a"/>
    <w:pPr>
      <w:ind w:left="2835"/>
    </w:pPr>
  </w:style>
  <w:style w:type="paragraph" w:customStyle="1" w:styleId="onpaper">
    <w:name w:val="onpaper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jc w:val="center"/>
    </w:pPr>
  </w:style>
  <w:style w:type="paragraph" w:customStyle="1" w:styleId="tableblank">
    <w:name w:val="tableblank"/>
    <w:basedOn w:val="a"/>
  </w:style>
  <w:style w:type="paragraph" w:customStyle="1" w:styleId="table9">
    <w:name w:val="table9"/>
    <w:basedOn w:val="a"/>
    <w:rPr>
      <w:sz w:val="18"/>
      <w:szCs w:val="18"/>
    </w:rPr>
  </w:style>
  <w:style w:type="paragraph" w:customStyle="1" w:styleId="table8">
    <w:name w:val="table8"/>
    <w:basedOn w:val="a"/>
    <w:rPr>
      <w:sz w:val="16"/>
      <w:szCs w:val="16"/>
    </w:rPr>
  </w:style>
  <w:style w:type="paragraph" w:customStyle="1" w:styleId="table7">
    <w:name w:val="table7"/>
    <w:basedOn w:val="a"/>
    <w:rPr>
      <w:sz w:val="14"/>
      <w:szCs w:val="14"/>
    </w:rPr>
  </w:style>
  <w:style w:type="paragraph" w:customStyle="1" w:styleId="begform">
    <w:name w:val="begform"/>
    <w:basedOn w:val="a"/>
    <w:pPr>
      <w:ind w:firstLine="567"/>
      <w:jc w:val="both"/>
    </w:pPr>
  </w:style>
  <w:style w:type="paragraph" w:customStyle="1" w:styleId="endform">
    <w:name w:val="endform"/>
    <w:basedOn w:val="a"/>
    <w:pPr>
      <w:ind w:firstLine="567"/>
      <w:jc w:val="both"/>
    </w:p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rsid w:val="009A24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2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ГРОДНЕНСКОГО ОБЛАСТНОГО СОВЕТА ДЕПУТАТОВ</vt:lpstr>
    </vt:vector>
  </TitlesOfParts>
  <Company>*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ГРОДНЕНСКОГО ОБЛАСТНОГО СОВЕТА ДЕПУТАТОВ</dc:title>
  <dc:subject/>
  <dc:creator>1</dc:creator>
  <cp:keywords/>
  <dc:description/>
  <cp:lastModifiedBy>Admin</cp:lastModifiedBy>
  <cp:revision>2</cp:revision>
  <dcterms:created xsi:type="dcterms:W3CDTF">2017-11-15T06:15:00Z</dcterms:created>
  <dcterms:modified xsi:type="dcterms:W3CDTF">2017-11-15T06:15:00Z</dcterms:modified>
</cp:coreProperties>
</file>