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2422">
      <w:pPr>
        <w:pStyle w:val="ConsPlusNormal"/>
        <w:spacing w:before="200"/>
      </w:pPr>
    </w:p>
    <w:p w:rsidR="00000000" w:rsidRDefault="00EA2422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EA2422">
      <w:pPr>
        <w:pStyle w:val="ConsPlusNormal"/>
        <w:spacing w:before="200"/>
        <w:jc w:val="both"/>
      </w:pPr>
      <w:r>
        <w:t>Республики Беларусь 21 мая 2019 г. N 9/96081</w:t>
      </w:r>
    </w:p>
    <w:p w:rsidR="00000000" w:rsidRDefault="00EA24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Title"/>
        <w:jc w:val="center"/>
      </w:pPr>
      <w:r>
        <w:t>РЕШЕНИЕ ГРОДНЕНСКОГО ГОРОДСКОГО ИСПОЛНИТЕЛЬНОГО КОМИТЕТА</w:t>
      </w:r>
    </w:p>
    <w:p w:rsidR="00000000" w:rsidRDefault="00EA2422">
      <w:pPr>
        <w:pStyle w:val="ConsPlusTitle"/>
        <w:jc w:val="center"/>
      </w:pPr>
      <w:r>
        <w:t>24 апреля 2019 г. N 270</w:t>
      </w:r>
    </w:p>
    <w:p w:rsidR="00000000" w:rsidRDefault="00EA2422">
      <w:pPr>
        <w:pStyle w:val="ConsPlusTitle"/>
        <w:jc w:val="center"/>
      </w:pPr>
    </w:p>
    <w:p w:rsidR="00000000" w:rsidRDefault="00EA2422">
      <w:pPr>
        <w:pStyle w:val="ConsPlusTitle"/>
        <w:jc w:val="center"/>
      </w:pPr>
      <w:r>
        <w:t>О ПРЕОБРАЗОВАНИИ ПАМЯТНИКА ПРИРОДЫ МЕСТНОГО ЗНАЧЕНИЯ "ЛЕСОПАРК "РУМЛЁВО"</w:t>
      </w:r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Normal"/>
        <w:ind w:firstLine="540"/>
        <w:jc w:val="both"/>
      </w:pPr>
      <w:r>
        <w:t>На основании части второй статьи 9, статьи 37 Закона Республики Беларусь от 20 октября 1994 г. N 3335-XII "Об особо охраняемых природных территориях" Гродненский городской исполнител</w:t>
      </w:r>
      <w:r>
        <w:t>ьный комитет РЕШИЛ: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1. Преобразовать памятник природы местного значения "Лесопарк "Румлёво" в ботанический памятник природы местного значения "Лесопарк "Румлёво" в связи с изменением его границ, режима охраны и использования.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2. Установить состав земель, г</w:t>
      </w:r>
      <w:r>
        <w:t>раницы, площадь ботанического памятника природы местного значения "Лесопарк "Румлёво" согласно приложению.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 Установить в границах ботанического памятника природы местного значения "Лесопарк "Румлёво" режим охраны и использования, согласно которому запрещ</w:t>
      </w:r>
      <w:r>
        <w:t>аются следующие виды работ (за исключением мероприятий по предупреждению и ликвидации чрезвычайных ситуаций природного и техногенного характера):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3.1. проведение работ по гидротехнической мелиорации, работ, связанных с изменением существующего гидрологичес</w:t>
      </w:r>
      <w:r>
        <w:t>кого режима, за исключением работ по восстановлению парка;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3.2. разведка и разработка месторождений полезных ископаемых;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3.3. размещение объектов хранения, захоронения, обезвреживания и использования отходов;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3.4. сброс сточных вод в окружающую среду;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3.5.</w:t>
      </w:r>
      <w:r>
        <w:t xml:space="preserve"> предоставление земельных участков для коллективного садоводства и дачного строительства, прогон и выпас скота, мойка транспортных средств;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3.6. возведение объектов строительства, за исключением строительства инженерных и транспортных коммуникаций, лодочны</w:t>
      </w:r>
      <w:r>
        <w:t>х причалов, сооружений для обустройства и (или) благоустройства пляжей и иных зон и мест отдыха населения, экологических троп (включая строительство сооружений);</w:t>
      </w:r>
    </w:p>
    <w:p w:rsidR="00000000" w:rsidRDefault="00EA2422">
      <w:pPr>
        <w:pStyle w:val="ConsPlusNormal"/>
        <w:spacing w:before="200"/>
        <w:ind w:firstLine="540"/>
        <w:jc w:val="both"/>
      </w:pPr>
      <w:proofErr w:type="gramStart"/>
      <w:r>
        <w:t>3.7. уничтожение, изъятие и (или) повреждение древесно-кустарниковой растительности (насаждени</w:t>
      </w:r>
      <w:r>
        <w:t>й), живого напочвенного покрова и лесной подстилки, снятие (уничтожение) плодородного слоя почвы, за исключением выполнения мероприятий по регулированию распространения и численности инвазивных видов дикорастущих растений, противопожарных мероприятий, рабо</w:t>
      </w:r>
      <w:r>
        <w:t>т, направленных на предотвращение зарастания земель древесно-кустарниковой растительностью (насаждениями), работ, связанных с реинтродукцией диких животных и популяций дикорастущих растений, включенных в Красную книгу Республики Беларусь</w:t>
      </w:r>
      <w:proofErr w:type="gramEnd"/>
      <w:r>
        <w:t>, работ по уборке о</w:t>
      </w:r>
      <w:r>
        <w:t>пасных деревьев, работ по охране и защите лесного фонда, лесовосстановлению и лесоразведению;</w:t>
      </w:r>
    </w:p>
    <w:p w:rsidR="00000000" w:rsidRPr="00EA2422" w:rsidRDefault="00EA2422">
      <w:pPr>
        <w:pStyle w:val="ConsPlusNormal"/>
        <w:spacing w:before="200"/>
        <w:ind w:firstLine="540"/>
        <w:jc w:val="both"/>
        <w:rPr>
          <w:color w:val="FF0000"/>
        </w:rPr>
      </w:pPr>
      <w:r>
        <w:t>3.8. размещение пляжей, оборудованных зон и мест отдыха населения, экологических троп, лодочных причалов, стоянок механических транспортных средств, разведение ко</w:t>
      </w:r>
      <w:r>
        <w:t xml:space="preserve">стров, </w:t>
      </w:r>
      <w:r w:rsidRPr="00EA2422">
        <w:rPr>
          <w:color w:val="FF0000"/>
        </w:rPr>
        <w:t>выгул собак вне определенных мест;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3.9. сжигание порубочных остатков при проведении работ по удалению древесно-кустарниковой растительности (насаждений), за исключением случаев сжигания порубочных остатков в очагах стволовых вредителей, сосудистых и</w:t>
      </w:r>
      <w:r>
        <w:t xml:space="preserve"> некрозно-раковых болезней в соответствии с нормативными правовыми актами;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 xml:space="preserve">3.10. выжигание растительности (дикорастущих растений) и ее остатков на корню, за исключением </w:t>
      </w:r>
      <w:r>
        <w:lastRenderedPageBreak/>
        <w:t>случаев, предусмотренных нормативными правовыми актами;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3.11. применение химических средств защиты растений авиационным методом;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3.12. заготовка дикорастущих растений и (или) их частей физическими, юридическими лицами и (или) индивидуальными предпринимателями;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 xml:space="preserve">3.13. расчистка водной и прибрежной растительности </w:t>
      </w:r>
      <w:r>
        <w:t>в прибрежных полосах водоемов и водотоков, кроме мест для изъятия поверхностных вод механическими транспортными средствами органов и подразделений по чрезвычайным ситуациям и приспособленной для пожаротушения техникой для ликвидации чрезвычайных ситуаций;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3.14. распашка земель на расстоянии 100 метров от береговой линии водоемов и водотоков, кроме выполнения работ по подготовке почвы для залужения, лесовосстановления и лесоразведения;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3.15. движение и стоянка механических транспортных средств вне дорог и сп</w:t>
      </w:r>
      <w:r>
        <w:t>ециально оборудованных мест для их стоянки (хранения), кроме механических транспортных средств:</w:t>
      </w:r>
    </w:p>
    <w:p w:rsidR="00000000" w:rsidRDefault="00EA2422">
      <w:pPr>
        <w:pStyle w:val="ConsPlusNormal"/>
        <w:spacing w:before="200"/>
        <w:ind w:firstLine="540"/>
        <w:jc w:val="both"/>
      </w:pPr>
      <w:proofErr w:type="gramStart"/>
      <w:r>
        <w:t>органов и подразделений Министерства по чрезвычайным ситуациям, Министерства природных ресурсов и охраны окружающей среды и его территориальных органов, Министе</w:t>
      </w:r>
      <w:r>
        <w:t>рства лесного хозяйства и его территориальных органов, Министерства энергетики и его подчиненных организаций, Государственной инспекции охраны животного и растительного мира при Президенте Республики Беларусь, ее областных и межрайонных инспекций охраны жи</w:t>
      </w:r>
      <w:r>
        <w:t>вотного и растительного мира;</w:t>
      </w:r>
      <w:proofErr w:type="gramEnd"/>
    </w:p>
    <w:p w:rsidR="00000000" w:rsidRDefault="00EA2422">
      <w:pPr>
        <w:pStyle w:val="ConsPlusNormal"/>
        <w:spacing w:before="200"/>
        <w:ind w:firstLine="540"/>
        <w:jc w:val="both"/>
      </w:pPr>
      <w:r>
        <w:t xml:space="preserve">местных исполнительных и распорядительных органов для осуществления </w:t>
      </w:r>
      <w:proofErr w:type="gramStart"/>
      <w:r>
        <w:t>контроля за</w:t>
      </w:r>
      <w:proofErr w:type="gramEnd"/>
      <w:r>
        <w:t xml:space="preserve"> использованием и охраной земель на подведомственной территории;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землепользователей и арендаторов земель;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используемых при выполнении в границах па</w:t>
      </w:r>
      <w:r>
        <w:t>мятника природы работ по охране и защите лесного фонда, лесовосстановлению и лесоразведению, восстановлению гидрологического режима;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3.16. создание лесных культур с использованием интродуцированных пород деревьев и кустарников, интродукция чужеродных видов</w:t>
      </w:r>
      <w:r>
        <w:t xml:space="preserve"> диких животных и растений.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4. Определить, что управление ботаническим памятником природы местного значения "Лесопарк "Румлёво" осуществляется Гродненским городским исполнительным комитетом.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5. Настоящее решение обнародовать (опубликовать) в газете "Гродзе</w:t>
      </w:r>
      <w:r>
        <w:t>нская праўда".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6. Настоящее решение вступает в силу после его официального опубликования.</w:t>
      </w:r>
    </w:p>
    <w:p w:rsidR="00000000" w:rsidRDefault="00EA2422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A2422">
            <w:pPr>
              <w:pStyle w:val="ConsPlusNormal"/>
            </w:pPr>
            <w:r>
              <w:t>Председатель</w:t>
            </w:r>
          </w:p>
        </w:tc>
        <w:tc>
          <w:tcPr>
            <w:tcW w:w="5103" w:type="dxa"/>
          </w:tcPr>
          <w:p w:rsidR="00000000" w:rsidRDefault="00EA2422">
            <w:pPr>
              <w:pStyle w:val="ConsPlusNormal"/>
              <w:jc w:val="right"/>
            </w:pPr>
            <w:r>
              <w:t>М.Б.Гой</w:t>
            </w:r>
          </w:p>
        </w:tc>
      </w:tr>
    </w:tbl>
    <w:p w:rsidR="00000000" w:rsidRDefault="00EA2422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A2422">
            <w:pPr>
              <w:pStyle w:val="ConsPlusNormal"/>
            </w:pPr>
            <w:r>
              <w:t>Управляющий делами</w:t>
            </w:r>
          </w:p>
        </w:tc>
        <w:tc>
          <w:tcPr>
            <w:tcW w:w="5103" w:type="dxa"/>
          </w:tcPr>
          <w:p w:rsidR="00000000" w:rsidRDefault="00EA2422">
            <w:pPr>
              <w:pStyle w:val="ConsPlusNormal"/>
              <w:jc w:val="right"/>
            </w:pPr>
            <w:r>
              <w:t>В.В.Мамочкин</w:t>
            </w:r>
          </w:p>
        </w:tc>
      </w:tr>
    </w:tbl>
    <w:p w:rsidR="00000000" w:rsidRDefault="00EA2422">
      <w:pPr>
        <w:pStyle w:val="ConsPlusNormal"/>
        <w:jc w:val="both"/>
      </w:pPr>
    </w:p>
    <w:p w:rsidR="00000000" w:rsidRDefault="00EA2422">
      <w:pPr>
        <w:pStyle w:val="ConsPlusNonformat"/>
        <w:jc w:val="both"/>
      </w:pPr>
      <w:r>
        <w:t>СОГЛАСОВАНО</w:t>
      </w:r>
    </w:p>
    <w:p w:rsidR="00000000" w:rsidRDefault="00EA2422">
      <w:pPr>
        <w:pStyle w:val="ConsPlusNonformat"/>
        <w:jc w:val="both"/>
      </w:pPr>
      <w:r>
        <w:t>Гродненская городская и районная инспекция</w:t>
      </w:r>
    </w:p>
    <w:p w:rsidR="00000000" w:rsidRDefault="00EA2422">
      <w:pPr>
        <w:pStyle w:val="ConsPlusNonformat"/>
        <w:jc w:val="both"/>
      </w:pPr>
      <w:r>
        <w:t>природных ресурсов и охраны окружающей среды</w:t>
      </w:r>
    </w:p>
    <w:p w:rsidR="00000000" w:rsidRDefault="00EA2422">
      <w:pPr>
        <w:pStyle w:val="ConsPlusNonformat"/>
        <w:jc w:val="both"/>
      </w:pPr>
    </w:p>
    <w:p w:rsidR="00000000" w:rsidRDefault="00EA2422">
      <w:pPr>
        <w:pStyle w:val="ConsPlusNonformat"/>
        <w:jc w:val="both"/>
      </w:pPr>
      <w:r>
        <w:t>Государственная инспекция охраны</w:t>
      </w:r>
    </w:p>
    <w:p w:rsidR="00000000" w:rsidRDefault="00EA2422">
      <w:pPr>
        <w:pStyle w:val="ConsPlusNonformat"/>
        <w:jc w:val="both"/>
      </w:pPr>
      <w:r>
        <w:t>животного и растительного мира</w:t>
      </w:r>
    </w:p>
    <w:p w:rsidR="00000000" w:rsidRDefault="00EA2422">
      <w:pPr>
        <w:pStyle w:val="ConsPlusNonformat"/>
        <w:jc w:val="both"/>
      </w:pPr>
      <w:r>
        <w:t>при Президенте Республики Беларусь</w:t>
      </w:r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Normal"/>
        <w:jc w:val="right"/>
        <w:outlineLvl w:val="0"/>
      </w:pPr>
      <w:r>
        <w:t>Приложение</w:t>
      </w:r>
    </w:p>
    <w:p w:rsidR="00000000" w:rsidRDefault="00EA2422">
      <w:pPr>
        <w:pStyle w:val="ConsPlusNormal"/>
        <w:jc w:val="right"/>
      </w:pPr>
      <w:r>
        <w:t>к решению</w:t>
      </w:r>
    </w:p>
    <w:p w:rsidR="00000000" w:rsidRDefault="00EA2422">
      <w:pPr>
        <w:pStyle w:val="ConsPlusNormal"/>
        <w:jc w:val="right"/>
      </w:pPr>
      <w:r>
        <w:t>Гродненского городского</w:t>
      </w:r>
    </w:p>
    <w:p w:rsidR="00000000" w:rsidRDefault="00EA2422">
      <w:pPr>
        <w:pStyle w:val="ConsPlusNormal"/>
        <w:jc w:val="right"/>
      </w:pPr>
      <w:r>
        <w:t>исполнительного комитета</w:t>
      </w:r>
    </w:p>
    <w:p w:rsidR="00000000" w:rsidRDefault="00EA2422">
      <w:pPr>
        <w:pStyle w:val="ConsPlusNormal"/>
        <w:jc w:val="right"/>
      </w:pPr>
      <w:r>
        <w:lastRenderedPageBreak/>
        <w:t>24.04.2019 N 270</w:t>
      </w:r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Title"/>
        <w:jc w:val="center"/>
      </w:pPr>
      <w:bookmarkStart w:id="0" w:name="Par63"/>
      <w:bookmarkEnd w:id="0"/>
      <w:r>
        <w:t>СОСТАВ</w:t>
      </w:r>
    </w:p>
    <w:p w:rsidR="00000000" w:rsidRDefault="00EA2422">
      <w:pPr>
        <w:pStyle w:val="ConsPlusTitle"/>
        <w:jc w:val="center"/>
      </w:pPr>
      <w:r>
        <w:t>ЗЕМЕЛЬ, ГРАНИЦЫ, ПЛОЩАДЬ БОТАНИЧЕСКОГО ПАМЯТНИКА ПРИРОДЫ МЕСТНОГО ЗНАЧЕНИЯ "ЛЕСОПАРК "РУМЛЁВО"</w:t>
      </w:r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Normal"/>
        <w:ind w:firstLine="540"/>
        <w:jc w:val="both"/>
      </w:pPr>
      <w:r>
        <w:t>1. Общая площадь ботанического памятника природы местного значения "Лесопарк "Румлёво" - 92,69 гектара.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2. В состав земель ботанического памятника природы местн</w:t>
      </w:r>
      <w:r>
        <w:t>ого значения "Лесопарк Румлёво" входят земли объединенного унитарного производственного предприятия "Гродненское городское жилищно-коммунальное хозяйство" - 73,03 гектара, коммунального производственного сельскохозяйственного унитарного предприятия "Гродне</w:t>
      </w:r>
      <w:r>
        <w:t>нская птицефабрика" - 16,67 гектара, Гродненского городского исполнительного комитета - 2,99 гектара.</w:t>
      </w:r>
    </w:p>
    <w:p w:rsidR="00000000" w:rsidRDefault="00EA2422">
      <w:pPr>
        <w:pStyle w:val="ConsPlusNormal"/>
        <w:spacing w:before="200"/>
        <w:ind w:firstLine="540"/>
        <w:jc w:val="both"/>
      </w:pPr>
      <w:r>
        <w:t>3. Границы ботанического памятника природы местного значения "Лесопарк Румлёво" проходят:</w:t>
      </w:r>
    </w:p>
    <w:p w:rsidR="00000000" w:rsidRDefault="00EA2422">
      <w:pPr>
        <w:pStyle w:val="ConsPlusNormal"/>
        <w:spacing w:before="200"/>
        <w:ind w:firstLine="540"/>
        <w:jc w:val="both"/>
      </w:pPr>
      <w:proofErr w:type="gramStart"/>
      <w:r>
        <w:t xml:space="preserve">на севере - от точки соприкосновения границ земель Гродненского </w:t>
      </w:r>
      <w:r>
        <w:t>республиканского унитарного предприятия электроэнергетики "Гродноэнерго" (земельный участок для обслуживания тепловой магистрали от ТК-0412 до ТК-0413 (переход через вантовый мост по улице Фомичёва), объединенного унитарного производственного предприятия "</w:t>
      </w:r>
      <w:r>
        <w:t>Гродненское городское жилищно-коммунальное хозяйство" и уреза воды в реке Неман в юго-восточном направлении по границе последней с землями объединенного унитарного производственного предприятия "Гродненское городское жилищно-коммунальное хозяйство</w:t>
      </w:r>
      <w:proofErr w:type="gramEnd"/>
      <w:r>
        <w:t>", землям</w:t>
      </w:r>
      <w:r>
        <w:t>и города Гродно (проспект Клецкова, мост через реку Неман), объединенного унитарного производственного предприятия "Гродненское городское жилищно-коммунальное хозяйство", землями города Гродно и коммунального производственного сельскохозяйственного унитарн</w:t>
      </w:r>
      <w:r>
        <w:t>ого предприятия "Гродненская птицефабрика" до точки соприкосновения границ земель транспортного республиканского унитарного предприятия "Барановичское отделение Белорусской железной дороги" и коммунального производственного сельскохозяйственного унитарного</w:t>
      </w:r>
      <w:r>
        <w:t xml:space="preserve"> предприятия "Гродненская птицефабрика";</w:t>
      </w:r>
    </w:p>
    <w:p w:rsidR="00000000" w:rsidRDefault="00EA2422">
      <w:pPr>
        <w:pStyle w:val="ConsPlusNormal"/>
        <w:spacing w:before="200"/>
        <w:ind w:firstLine="540"/>
        <w:jc w:val="both"/>
      </w:pPr>
      <w:proofErr w:type="gramStart"/>
      <w:r>
        <w:t>на востоке - от точки соприкосновения границ земель коммунального производственного сельскохозяйственного унитарного предприятия "Гродненская птицефабрика" и транспортного республиканского унитарного предприятия "Ба</w:t>
      </w:r>
      <w:r>
        <w:t>рановичское отделение Белорусской железной дороги" и уреза воды в реке Неман в южном направлении по границе указанных землепользователей до точки соприкосновения с землями под откосом железной дороги (землепользователь - коммунальное производственное сельс</w:t>
      </w:r>
      <w:r>
        <w:t>кохозяйственное унитарное предприятие "Гродненская птицефабрика");</w:t>
      </w:r>
      <w:proofErr w:type="gramEnd"/>
    </w:p>
    <w:p w:rsidR="00000000" w:rsidRDefault="00EA2422">
      <w:pPr>
        <w:pStyle w:val="ConsPlusNormal"/>
        <w:spacing w:before="200"/>
        <w:ind w:firstLine="540"/>
        <w:jc w:val="both"/>
      </w:pPr>
      <w:proofErr w:type="gramStart"/>
      <w:r>
        <w:t>на юге - от точки соприкосновения земель коммунального производственного сельскохозяйственного унитарного предприятия "Гродненская птицефабрика" под древесно-кустарниковой растительностью (</w:t>
      </w:r>
      <w:r>
        <w:t>насаждениями), под откосом железной дороги и земель транспортного республиканского унитарного предприятия "Барановичское отделение Белорусской железной дороги" в западном направлении по границе земель коммунального производственного сельскохозяйственного у</w:t>
      </w:r>
      <w:r>
        <w:t>нитарного предприятия "Гродненская птицефабрика" под древесно-кустарниковой растительностью (насаждениями) и под откосом железной дороги, затем по границе земель под древесно-кустарниковой</w:t>
      </w:r>
      <w:proofErr w:type="gramEnd"/>
      <w:r>
        <w:t xml:space="preserve"> </w:t>
      </w:r>
      <w:proofErr w:type="gramStart"/>
      <w:r>
        <w:t>растительностью (насаждениями) (землепользователь - коммунальное пр</w:t>
      </w:r>
      <w:r>
        <w:t>оизводственное сельскохозяйственное унитарное предприятие "Гродненская птицефабрика") с пахотными землями, земельными участками для ведения личного подсобного хозяйства (город Гродно, улица Солы), землями общего пользования (землепользователь - коммунально</w:t>
      </w:r>
      <w:r>
        <w:t>е производственное сельскохозяйственное унитарное предприятие "Гродненская птицефабрика") и землями города Гродно до ручья, впадающего в реку Неман, затем в юго-западном направлении по пешеходной дорожке до пересечения с землями под откосом дороги (земли</w:t>
      </w:r>
      <w:proofErr w:type="gramEnd"/>
      <w:r>
        <w:t xml:space="preserve"> </w:t>
      </w:r>
      <w:proofErr w:type="gramStart"/>
      <w:r>
        <w:t>г</w:t>
      </w:r>
      <w:r>
        <w:t>орода Гродно), далее в западном направлении по границе земель под древесно-кустарниковой растительностью (насаждениями) с землями под откосом дороги и землями общего пользования, неиспользуемыми землями, землями общего пользования, пашней, дворами, затем п</w:t>
      </w:r>
      <w:r>
        <w:t>о границе земель объединенного унитарного производственного предприятия "Гродненское городское жилищно-коммунальное хозяйство" и земель города Гродно до ее соприкосновения с землями транспортных коммуникаций (проспект Клецкова, мост через реку Неман), дале</w:t>
      </w:r>
      <w:r>
        <w:t>е по</w:t>
      </w:r>
      <w:proofErr w:type="gramEnd"/>
      <w:r>
        <w:t xml:space="preserve"> границе земель объединенного унитарного производственного предприятия "Гродненское городское жилищно-коммунальное хозяйство" и земель города Гродно до точки пересечения с землями производственного республиканского унитарного предприятия "Гроднооблгаз"</w:t>
      </w:r>
      <w:r>
        <w:t>;</w:t>
      </w:r>
    </w:p>
    <w:p w:rsidR="00000000" w:rsidRDefault="00EA2422">
      <w:pPr>
        <w:pStyle w:val="ConsPlusNormal"/>
        <w:spacing w:before="200"/>
        <w:ind w:firstLine="540"/>
        <w:jc w:val="both"/>
      </w:pPr>
      <w:proofErr w:type="gramStart"/>
      <w:r>
        <w:t xml:space="preserve">на западе - от точки соприкосновения земель объединенного унитарного производственного предприятия "Гродненское городское жилищно-коммунальное хозяйство", земель города Гродно и земель </w:t>
      </w:r>
      <w:r>
        <w:lastRenderedPageBreak/>
        <w:t>производственного республиканского унитарного предприятия "Гроднооблг</w:t>
      </w:r>
      <w:r>
        <w:t>аз" в южном направлении по границе последних землепользователей, далее по границе земель объединенного унитарного производственного предприятия "Гродненское городское жилищно-коммунальное хозяйство" и города Гродно, затем по границе земель производственног</w:t>
      </w:r>
      <w:r>
        <w:t>о республиканского унитарного предприятия "Гроднооблгаз" и города Гродно, далее по</w:t>
      </w:r>
      <w:proofErr w:type="gramEnd"/>
      <w:r>
        <w:t xml:space="preserve"> </w:t>
      </w:r>
      <w:proofErr w:type="gramStart"/>
      <w:r>
        <w:t>границе земель объединенного унитарного производственного предприятия "Гродненское городское жилищно-коммунальное хозяйство" и города Гродно, затем по границе земель Гроднен</w:t>
      </w:r>
      <w:r>
        <w:t>ского республиканского унитарного предприятия электроэнергетики "Гродноэнерго" (земельный участок для обслуживания тепловой магистрали от ТК-0412 до ТК-0413 (переход через вантовый мост по улице Фомичёва) и объединенного унитарного производственного предпр</w:t>
      </w:r>
      <w:r>
        <w:t>иятия "Гродненское городское жилищно-коммунальное хозяйство" до точки ее соприкосновения с урезом воды в реке Неман.</w:t>
      </w:r>
      <w:proofErr w:type="gramEnd"/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Normal"/>
        <w:jc w:val="both"/>
      </w:pPr>
    </w:p>
    <w:p w:rsidR="00000000" w:rsidRDefault="00EA24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A2422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18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077107"/>
    <w:rsid w:val="00077107"/>
    <w:rsid w:val="00EA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1231</Words>
  <Characters>9988</Characters>
  <Application>Microsoft Office Word</Application>
  <DocSecurity>2</DocSecurity>
  <Lines>83</Lines>
  <Paragraphs>22</Paragraphs>
  <ScaleCrop>false</ScaleCrop>
  <Company>КонсультантПлюс Версия 4018.00.51</Company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Admin</dc:creator>
  <cp:keywords/>
  <dc:description/>
  <cp:lastModifiedBy>Admin</cp:lastModifiedBy>
  <cp:revision>3</cp:revision>
  <dcterms:created xsi:type="dcterms:W3CDTF">2023-01-27T14:19:00Z</dcterms:created>
  <dcterms:modified xsi:type="dcterms:W3CDTF">2023-01-27T14:38:00Z</dcterms:modified>
</cp:coreProperties>
</file>