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4D733" w14:textId="77777777" w:rsidR="00575308" w:rsidRPr="009C0321" w:rsidRDefault="00575308" w:rsidP="009C0321">
      <w:pPr>
        <w:tabs>
          <w:tab w:val="left" w:pos="9000"/>
        </w:tabs>
        <w:spacing w:after="0" w:line="240" w:lineRule="auto"/>
        <w:jc w:val="center"/>
        <w:rPr>
          <w:rFonts w:ascii="Times New Roman" w:hAnsi="Times New Roman" w:cs="Times New Roman"/>
          <w:b/>
          <w:bCs/>
          <w:iCs/>
          <w:szCs w:val="20"/>
        </w:rPr>
      </w:pPr>
      <w:r w:rsidRPr="009C0321">
        <w:rPr>
          <w:rFonts w:ascii="Times New Roman" w:hAnsi="Times New Roman" w:cs="Times New Roman"/>
          <w:b/>
          <w:bCs/>
          <w:iCs/>
          <w:szCs w:val="20"/>
        </w:rPr>
        <w:t>И</w:t>
      </w:r>
      <w:r w:rsidR="00732A65" w:rsidRPr="009C0321">
        <w:rPr>
          <w:rFonts w:ascii="Times New Roman" w:hAnsi="Times New Roman" w:cs="Times New Roman"/>
          <w:b/>
          <w:bCs/>
          <w:iCs/>
          <w:szCs w:val="20"/>
        </w:rPr>
        <w:t>звещение</w:t>
      </w:r>
      <w:r w:rsidRPr="009C0321">
        <w:rPr>
          <w:rFonts w:ascii="Times New Roman" w:hAnsi="Times New Roman" w:cs="Times New Roman"/>
          <w:b/>
          <w:bCs/>
          <w:iCs/>
          <w:szCs w:val="20"/>
        </w:rPr>
        <w:t xml:space="preserve"> об открытом аукционе по продаже </w:t>
      </w:r>
      <w:r w:rsidR="008628E2" w:rsidRPr="009C0321">
        <w:rPr>
          <w:rFonts w:ascii="Times New Roman" w:hAnsi="Times New Roman" w:cs="Times New Roman"/>
          <w:b/>
          <w:bCs/>
          <w:iCs/>
          <w:szCs w:val="20"/>
        </w:rPr>
        <w:t>прав</w:t>
      </w:r>
      <w:r w:rsidR="0001263E" w:rsidRPr="009C0321">
        <w:rPr>
          <w:rFonts w:ascii="Times New Roman" w:hAnsi="Times New Roman" w:cs="Times New Roman"/>
          <w:b/>
          <w:bCs/>
          <w:iCs/>
          <w:szCs w:val="20"/>
        </w:rPr>
        <w:t>а</w:t>
      </w:r>
      <w:r w:rsidR="008628E2" w:rsidRPr="009C0321">
        <w:rPr>
          <w:rFonts w:ascii="Times New Roman" w:hAnsi="Times New Roman" w:cs="Times New Roman"/>
          <w:b/>
          <w:bCs/>
          <w:iCs/>
          <w:szCs w:val="20"/>
        </w:rPr>
        <w:t xml:space="preserve"> на размещение средства рекламы, в том числе средства наружной рекламы, на государственном недвижимом имуществе</w:t>
      </w:r>
      <w:r w:rsidR="0076328D" w:rsidRPr="009C0321">
        <w:rPr>
          <w:rFonts w:ascii="Times New Roman" w:hAnsi="Times New Roman" w:cs="Times New Roman"/>
          <w:b/>
          <w:bCs/>
          <w:iCs/>
          <w:szCs w:val="20"/>
        </w:rPr>
        <w:t xml:space="preserve"> (земельные участки, относящиеся к землям общего пользования)</w:t>
      </w:r>
      <w:r w:rsidR="00A67AC4" w:rsidRPr="009C0321">
        <w:rPr>
          <w:rFonts w:ascii="Times New Roman" w:hAnsi="Times New Roman" w:cs="Times New Roman"/>
          <w:b/>
          <w:bCs/>
          <w:iCs/>
          <w:szCs w:val="20"/>
        </w:rPr>
        <w:t xml:space="preserve"> </w:t>
      </w:r>
      <w:r w:rsidR="009E7785" w:rsidRPr="009C0321">
        <w:rPr>
          <w:rFonts w:ascii="Times New Roman" w:hAnsi="Times New Roman" w:cs="Times New Roman"/>
          <w:b/>
          <w:bCs/>
          <w:iCs/>
          <w:szCs w:val="20"/>
        </w:rPr>
        <w:t>в</w:t>
      </w:r>
      <w:r w:rsidRPr="009C0321">
        <w:rPr>
          <w:rFonts w:ascii="Times New Roman" w:hAnsi="Times New Roman" w:cs="Times New Roman"/>
          <w:b/>
          <w:bCs/>
          <w:iCs/>
          <w:szCs w:val="20"/>
        </w:rPr>
        <w:t xml:space="preserve"> </w:t>
      </w:r>
      <w:r w:rsidR="00BF0BE0" w:rsidRPr="009C0321">
        <w:rPr>
          <w:rFonts w:ascii="Times New Roman" w:hAnsi="Times New Roman" w:cs="Times New Roman"/>
          <w:b/>
          <w:bCs/>
          <w:iCs/>
          <w:szCs w:val="20"/>
        </w:rPr>
        <w:t>г. Гродно</w:t>
      </w:r>
      <w:r w:rsidR="00661C2A" w:rsidRPr="009C0321">
        <w:rPr>
          <w:rFonts w:ascii="Times New Roman" w:hAnsi="Times New Roman" w:cs="Times New Roman"/>
          <w:b/>
          <w:bCs/>
          <w:iCs/>
          <w:szCs w:val="20"/>
        </w:rPr>
        <w:t xml:space="preserve"> </w:t>
      </w:r>
      <w:r w:rsidR="000B1543" w:rsidRPr="009C0321">
        <w:rPr>
          <w:rFonts w:ascii="Times New Roman" w:hAnsi="Times New Roman" w:cs="Times New Roman"/>
          <w:b/>
          <w:bCs/>
          <w:iCs/>
          <w:szCs w:val="20"/>
        </w:rPr>
        <w:t>20 января 2026</w:t>
      </w:r>
      <w:r w:rsidR="00732A65" w:rsidRPr="009C0321">
        <w:rPr>
          <w:rFonts w:ascii="Times New Roman" w:hAnsi="Times New Roman" w:cs="Times New Roman"/>
          <w:b/>
          <w:bCs/>
          <w:iCs/>
          <w:szCs w:val="20"/>
        </w:rPr>
        <w:t xml:space="preserve"> </w:t>
      </w:r>
      <w:r w:rsidRPr="009C0321">
        <w:rPr>
          <w:rFonts w:ascii="Times New Roman" w:hAnsi="Times New Roman" w:cs="Times New Roman"/>
          <w:b/>
          <w:bCs/>
          <w:iCs/>
          <w:szCs w:val="20"/>
        </w:rPr>
        <w:t>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
        <w:gridCol w:w="6181"/>
        <w:gridCol w:w="3125"/>
        <w:gridCol w:w="1425"/>
        <w:gridCol w:w="1316"/>
        <w:gridCol w:w="1326"/>
        <w:gridCol w:w="1289"/>
      </w:tblGrid>
      <w:tr w:rsidR="00B35EF3" w:rsidRPr="009C0321" w14:paraId="6DCD9FFF" w14:textId="77777777" w:rsidTr="009D37A7">
        <w:trPr>
          <w:tblHeader/>
        </w:trPr>
        <w:tc>
          <w:tcPr>
            <w:tcW w:w="230" w:type="pct"/>
            <w:shd w:val="clear" w:color="auto" w:fill="auto"/>
            <w:vAlign w:val="center"/>
          </w:tcPr>
          <w:p w14:paraId="57F0C499" w14:textId="77777777" w:rsidR="00283409" w:rsidRPr="009C0321" w:rsidRDefault="00283409" w:rsidP="009C0321">
            <w:pPr>
              <w:spacing w:after="0" w:line="240" w:lineRule="auto"/>
              <w:jc w:val="center"/>
              <w:rPr>
                <w:rFonts w:ascii="Times New Roman" w:hAnsi="Times New Roman"/>
                <w:szCs w:val="20"/>
              </w:rPr>
            </w:pPr>
            <w:r w:rsidRPr="009C0321">
              <w:rPr>
                <w:rFonts w:ascii="Times New Roman" w:hAnsi="Times New Roman"/>
                <w:szCs w:val="20"/>
              </w:rPr>
              <w:t>№</w:t>
            </w:r>
          </w:p>
          <w:p w14:paraId="4AB31233" w14:textId="77777777" w:rsidR="00283409" w:rsidRPr="009C0321" w:rsidRDefault="00283409" w:rsidP="009C0321">
            <w:pPr>
              <w:spacing w:after="0" w:line="240" w:lineRule="auto"/>
              <w:jc w:val="center"/>
              <w:rPr>
                <w:rFonts w:ascii="Times New Roman" w:hAnsi="Times New Roman"/>
                <w:szCs w:val="20"/>
              </w:rPr>
            </w:pPr>
            <w:r w:rsidRPr="009C0321">
              <w:rPr>
                <w:rFonts w:ascii="Times New Roman" w:hAnsi="Times New Roman"/>
                <w:szCs w:val="20"/>
              </w:rPr>
              <w:t>п/п</w:t>
            </w:r>
          </w:p>
        </w:tc>
        <w:tc>
          <w:tcPr>
            <w:tcW w:w="2042" w:type="pct"/>
            <w:shd w:val="clear" w:color="auto" w:fill="auto"/>
            <w:vAlign w:val="center"/>
          </w:tcPr>
          <w:p w14:paraId="52CE0897" w14:textId="77777777" w:rsidR="00283409" w:rsidRPr="009C0321" w:rsidRDefault="00283409" w:rsidP="009C0321">
            <w:pPr>
              <w:spacing w:after="0" w:line="240" w:lineRule="auto"/>
              <w:jc w:val="center"/>
              <w:rPr>
                <w:rFonts w:ascii="Times New Roman" w:hAnsi="Times New Roman"/>
                <w:szCs w:val="20"/>
              </w:rPr>
            </w:pPr>
            <w:r w:rsidRPr="009C0321">
              <w:rPr>
                <w:rFonts w:ascii="Times New Roman" w:hAnsi="Times New Roman"/>
                <w:szCs w:val="20"/>
              </w:rPr>
              <w:t>Адрес места</w:t>
            </w:r>
            <w:r w:rsidR="0010252D" w:rsidRPr="009C0321">
              <w:rPr>
                <w:rFonts w:ascii="Times New Roman" w:hAnsi="Times New Roman"/>
                <w:szCs w:val="20"/>
              </w:rPr>
              <w:t xml:space="preserve"> и срок </w:t>
            </w:r>
            <w:r w:rsidRPr="009C0321">
              <w:rPr>
                <w:rFonts w:ascii="Times New Roman" w:hAnsi="Times New Roman"/>
                <w:szCs w:val="20"/>
              </w:rPr>
              <w:t>размещ</w:t>
            </w:r>
            <w:r w:rsidRPr="009C0321">
              <w:rPr>
                <w:rFonts w:ascii="Times New Roman" w:hAnsi="Times New Roman"/>
                <w:szCs w:val="20"/>
              </w:rPr>
              <w:t>е</w:t>
            </w:r>
            <w:r w:rsidRPr="009C0321">
              <w:rPr>
                <w:rFonts w:ascii="Times New Roman" w:hAnsi="Times New Roman"/>
                <w:szCs w:val="20"/>
              </w:rPr>
              <w:t>ния средства наружной р</w:t>
            </w:r>
            <w:r w:rsidRPr="009C0321">
              <w:rPr>
                <w:rFonts w:ascii="Times New Roman" w:hAnsi="Times New Roman"/>
                <w:szCs w:val="20"/>
              </w:rPr>
              <w:t>е</w:t>
            </w:r>
            <w:r w:rsidRPr="009C0321">
              <w:rPr>
                <w:rFonts w:ascii="Times New Roman" w:hAnsi="Times New Roman"/>
                <w:szCs w:val="20"/>
              </w:rPr>
              <w:t>кламы</w:t>
            </w:r>
          </w:p>
        </w:tc>
        <w:tc>
          <w:tcPr>
            <w:tcW w:w="1043" w:type="pct"/>
            <w:vAlign w:val="center"/>
          </w:tcPr>
          <w:p w14:paraId="452C6F6F" w14:textId="77777777" w:rsidR="00B35EF3" w:rsidRPr="009C0321" w:rsidRDefault="00283409" w:rsidP="009C0321">
            <w:pPr>
              <w:spacing w:after="0" w:line="240" w:lineRule="auto"/>
              <w:jc w:val="center"/>
              <w:rPr>
                <w:rFonts w:ascii="Times New Roman" w:hAnsi="Times New Roman"/>
                <w:szCs w:val="20"/>
              </w:rPr>
            </w:pPr>
            <w:r w:rsidRPr="009C0321">
              <w:rPr>
                <w:rFonts w:ascii="Times New Roman" w:hAnsi="Times New Roman"/>
                <w:szCs w:val="20"/>
              </w:rPr>
              <w:t>Тип технического средства</w:t>
            </w:r>
          </w:p>
        </w:tc>
        <w:tc>
          <w:tcPr>
            <w:tcW w:w="424" w:type="pct"/>
            <w:shd w:val="clear" w:color="auto" w:fill="auto"/>
            <w:vAlign w:val="center"/>
          </w:tcPr>
          <w:p w14:paraId="54BBC259" w14:textId="77777777" w:rsidR="00283409" w:rsidRPr="009C0321" w:rsidRDefault="00283409" w:rsidP="009C0321">
            <w:pPr>
              <w:spacing w:after="0" w:line="240" w:lineRule="auto"/>
              <w:jc w:val="center"/>
              <w:rPr>
                <w:rFonts w:ascii="Times New Roman" w:hAnsi="Times New Roman"/>
                <w:szCs w:val="20"/>
              </w:rPr>
            </w:pPr>
            <w:r w:rsidRPr="009C0321">
              <w:rPr>
                <w:rFonts w:ascii="Times New Roman" w:hAnsi="Times New Roman"/>
                <w:szCs w:val="20"/>
              </w:rPr>
              <w:t>Колич</w:t>
            </w:r>
            <w:r w:rsidRPr="009C0321">
              <w:rPr>
                <w:rFonts w:ascii="Times New Roman" w:hAnsi="Times New Roman"/>
                <w:szCs w:val="20"/>
              </w:rPr>
              <w:t>е</w:t>
            </w:r>
            <w:r w:rsidRPr="009C0321">
              <w:rPr>
                <w:rFonts w:ascii="Times New Roman" w:hAnsi="Times New Roman"/>
                <w:szCs w:val="20"/>
              </w:rPr>
              <w:t>ство</w:t>
            </w:r>
          </w:p>
          <w:p w14:paraId="421BC60B" w14:textId="77777777" w:rsidR="00283409" w:rsidRPr="009C0321" w:rsidRDefault="00283409" w:rsidP="009C0321">
            <w:pPr>
              <w:spacing w:after="0" w:line="240" w:lineRule="auto"/>
              <w:jc w:val="center"/>
              <w:rPr>
                <w:rFonts w:ascii="Times New Roman" w:hAnsi="Times New Roman"/>
                <w:szCs w:val="20"/>
              </w:rPr>
            </w:pPr>
            <w:r w:rsidRPr="009C0321">
              <w:rPr>
                <w:rFonts w:ascii="Times New Roman" w:hAnsi="Times New Roman"/>
                <w:szCs w:val="20"/>
              </w:rPr>
              <w:t>конструкций</w:t>
            </w:r>
          </w:p>
          <w:p w14:paraId="3E897B8C" w14:textId="77777777" w:rsidR="00283409" w:rsidRPr="009C0321" w:rsidRDefault="00283409" w:rsidP="009C0321">
            <w:pPr>
              <w:spacing w:after="0" w:line="240" w:lineRule="auto"/>
              <w:jc w:val="center"/>
              <w:rPr>
                <w:rFonts w:ascii="Times New Roman" w:hAnsi="Times New Roman"/>
                <w:szCs w:val="20"/>
              </w:rPr>
            </w:pPr>
            <w:r w:rsidRPr="009C0321">
              <w:rPr>
                <w:rFonts w:ascii="Times New Roman" w:hAnsi="Times New Roman"/>
                <w:szCs w:val="20"/>
              </w:rPr>
              <w:t>(единиц)</w:t>
            </w:r>
          </w:p>
        </w:tc>
        <w:tc>
          <w:tcPr>
            <w:tcW w:w="363" w:type="pct"/>
            <w:shd w:val="clear" w:color="auto" w:fill="auto"/>
            <w:vAlign w:val="center"/>
          </w:tcPr>
          <w:p w14:paraId="3B5584BF" w14:textId="77777777" w:rsidR="00283409" w:rsidRPr="009C0321" w:rsidRDefault="00283409" w:rsidP="009C0321">
            <w:pPr>
              <w:spacing w:after="0" w:line="240" w:lineRule="auto"/>
              <w:ind w:left="-108"/>
              <w:jc w:val="center"/>
              <w:rPr>
                <w:rFonts w:ascii="Times New Roman" w:hAnsi="Times New Roman"/>
                <w:szCs w:val="20"/>
              </w:rPr>
            </w:pPr>
            <w:r w:rsidRPr="009C0321">
              <w:rPr>
                <w:rFonts w:ascii="Times New Roman" w:hAnsi="Times New Roman"/>
                <w:szCs w:val="20"/>
              </w:rPr>
              <w:t>Количество сторон</w:t>
            </w:r>
          </w:p>
          <w:p w14:paraId="5AD279E3" w14:textId="77777777" w:rsidR="00283409" w:rsidRPr="009C0321" w:rsidRDefault="00283409" w:rsidP="009C0321">
            <w:pPr>
              <w:spacing w:after="0" w:line="240" w:lineRule="auto"/>
              <w:ind w:left="-108" w:right="-108"/>
              <w:jc w:val="center"/>
              <w:rPr>
                <w:rFonts w:ascii="Times New Roman" w:hAnsi="Times New Roman"/>
                <w:szCs w:val="20"/>
              </w:rPr>
            </w:pPr>
            <w:r w:rsidRPr="009C0321">
              <w:rPr>
                <w:rFonts w:ascii="Times New Roman" w:hAnsi="Times New Roman"/>
                <w:szCs w:val="20"/>
              </w:rPr>
              <w:t>(плоск</w:t>
            </w:r>
            <w:r w:rsidRPr="009C0321">
              <w:rPr>
                <w:rFonts w:ascii="Times New Roman" w:hAnsi="Times New Roman"/>
                <w:szCs w:val="20"/>
              </w:rPr>
              <w:t>о</w:t>
            </w:r>
            <w:r w:rsidRPr="009C0321">
              <w:rPr>
                <w:rFonts w:ascii="Times New Roman" w:hAnsi="Times New Roman"/>
                <w:szCs w:val="20"/>
              </w:rPr>
              <w:t>стей)</w:t>
            </w:r>
          </w:p>
        </w:tc>
        <w:tc>
          <w:tcPr>
            <w:tcW w:w="455" w:type="pct"/>
            <w:vAlign w:val="center"/>
          </w:tcPr>
          <w:p w14:paraId="579AE5E3" w14:textId="77777777" w:rsidR="00283409" w:rsidRPr="009C0321" w:rsidRDefault="00283409" w:rsidP="009C0321">
            <w:pPr>
              <w:spacing w:after="0" w:line="240" w:lineRule="auto"/>
              <w:jc w:val="center"/>
              <w:rPr>
                <w:rFonts w:ascii="Times New Roman" w:hAnsi="Times New Roman"/>
                <w:szCs w:val="20"/>
              </w:rPr>
            </w:pPr>
            <w:r w:rsidRPr="009C0321">
              <w:rPr>
                <w:rFonts w:ascii="Times New Roman" w:hAnsi="Times New Roman"/>
                <w:szCs w:val="20"/>
              </w:rPr>
              <w:t>Начальная цена, руб.</w:t>
            </w:r>
          </w:p>
        </w:tc>
        <w:tc>
          <w:tcPr>
            <w:tcW w:w="443" w:type="pct"/>
            <w:vAlign w:val="center"/>
          </w:tcPr>
          <w:p w14:paraId="6C7208EF" w14:textId="77777777" w:rsidR="00283409" w:rsidRPr="009C0321" w:rsidRDefault="00283409" w:rsidP="009C0321">
            <w:pPr>
              <w:spacing w:after="0" w:line="240" w:lineRule="auto"/>
              <w:jc w:val="center"/>
              <w:rPr>
                <w:rFonts w:ascii="Times New Roman" w:hAnsi="Times New Roman"/>
                <w:szCs w:val="20"/>
              </w:rPr>
            </w:pPr>
            <w:r w:rsidRPr="009C0321">
              <w:rPr>
                <w:rFonts w:ascii="Times New Roman" w:hAnsi="Times New Roman"/>
                <w:szCs w:val="20"/>
              </w:rPr>
              <w:t>Сумма задатка, руб.</w:t>
            </w:r>
          </w:p>
        </w:tc>
      </w:tr>
      <w:tr w:rsidR="00BC577C" w:rsidRPr="009C0321" w14:paraId="53A2A107" w14:textId="77777777" w:rsidTr="00541B26">
        <w:trPr>
          <w:trHeight w:val="70"/>
          <w:tblHeader/>
        </w:trPr>
        <w:tc>
          <w:tcPr>
            <w:tcW w:w="230" w:type="pct"/>
            <w:shd w:val="clear" w:color="auto" w:fill="auto"/>
            <w:vAlign w:val="center"/>
          </w:tcPr>
          <w:p w14:paraId="047FFE7D" w14:textId="77777777" w:rsidR="00BC577C" w:rsidRPr="009C0321" w:rsidRDefault="00BC577C" w:rsidP="009C0321">
            <w:pPr>
              <w:spacing w:after="0" w:line="240" w:lineRule="auto"/>
              <w:jc w:val="center"/>
              <w:rPr>
                <w:rFonts w:ascii="Times New Roman" w:hAnsi="Times New Roman"/>
                <w:szCs w:val="20"/>
              </w:rPr>
            </w:pPr>
            <w:r w:rsidRPr="009C0321">
              <w:rPr>
                <w:rFonts w:ascii="Times New Roman" w:hAnsi="Times New Roman"/>
                <w:szCs w:val="20"/>
              </w:rPr>
              <w:t>1</w:t>
            </w:r>
          </w:p>
        </w:tc>
        <w:tc>
          <w:tcPr>
            <w:tcW w:w="2042" w:type="pct"/>
            <w:shd w:val="clear" w:color="auto" w:fill="auto"/>
            <w:vAlign w:val="center"/>
          </w:tcPr>
          <w:p w14:paraId="3D52B6D6" w14:textId="77777777" w:rsidR="00BC577C" w:rsidRPr="009C0321" w:rsidRDefault="00182448" w:rsidP="009C0321">
            <w:pPr>
              <w:spacing w:after="0" w:line="240" w:lineRule="auto"/>
              <w:rPr>
                <w:rFonts w:ascii="Times New Roman" w:hAnsi="Times New Roman"/>
                <w:szCs w:val="20"/>
              </w:rPr>
            </w:pPr>
            <w:r w:rsidRPr="009C0321">
              <w:rPr>
                <w:rFonts w:ascii="Times New Roman" w:hAnsi="Times New Roman"/>
                <w:szCs w:val="20"/>
              </w:rPr>
              <w:t xml:space="preserve">ул. </w:t>
            </w:r>
            <w:proofErr w:type="spellStart"/>
            <w:r w:rsidRPr="009C0321">
              <w:rPr>
                <w:rFonts w:ascii="Times New Roman" w:hAnsi="Times New Roman"/>
                <w:szCs w:val="20"/>
              </w:rPr>
              <w:t>Гаспадарчая</w:t>
            </w:r>
            <w:proofErr w:type="spellEnd"/>
            <w:r w:rsidRPr="009C0321">
              <w:rPr>
                <w:rFonts w:ascii="Times New Roman" w:hAnsi="Times New Roman"/>
                <w:szCs w:val="20"/>
              </w:rPr>
              <w:t>, на территории, прилегающей к зданию № 8/1</w:t>
            </w:r>
            <w:r w:rsidR="00541B26" w:rsidRPr="009C0321">
              <w:rPr>
                <w:rFonts w:ascii="Times New Roman" w:hAnsi="Times New Roman"/>
                <w:szCs w:val="20"/>
              </w:rPr>
              <w:t>,</w:t>
            </w:r>
          </w:p>
          <w:p w14:paraId="293CF6C7" w14:textId="77777777" w:rsidR="00541B26" w:rsidRPr="009C0321" w:rsidRDefault="00541B26" w:rsidP="009C0321">
            <w:pPr>
              <w:spacing w:after="0" w:line="240" w:lineRule="auto"/>
              <w:rPr>
                <w:rFonts w:ascii="Times New Roman" w:hAnsi="Times New Roman"/>
                <w:szCs w:val="20"/>
              </w:rPr>
            </w:pPr>
            <w:r w:rsidRPr="009C0321">
              <w:rPr>
                <w:rFonts w:ascii="Times New Roman" w:hAnsi="Times New Roman"/>
                <w:szCs w:val="20"/>
              </w:rPr>
              <w:t>сроком на 3 года</w:t>
            </w:r>
          </w:p>
        </w:tc>
        <w:tc>
          <w:tcPr>
            <w:tcW w:w="1043" w:type="pct"/>
            <w:vAlign w:val="center"/>
          </w:tcPr>
          <w:p w14:paraId="22D3EB43" w14:textId="77777777" w:rsidR="00BC577C" w:rsidRPr="009C0321" w:rsidRDefault="00182448" w:rsidP="009C0321">
            <w:pPr>
              <w:spacing w:after="0" w:line="240" w:lineRule="auto"/>
              <w:rPr>
                <w:rFonts w:ascii="Times New Roman" w:hAnsi="Times New Roman"/>
                <w:szCs w:val="20"/>
              </w:rPr>
            </w:pPr>
            <w:r w:rsidRPr="009C0321">
              <w:rPr>
                <w:rFonts w:ascii="Times New Roman" w:hAnsi="Times New Roman"/>
                <w:szCs w:val="20"/>
              </w:rPr>
              <w:t>рекламная двусторонняя щитовая конструкция (6м х 3м)</w:t>
            </w:r>
          </w:p>
        </w:tc>
        <w:tc>
          <w:tcPr>
            <w:tcW w:w="424" w:type="pct"/>
            <w:shd w:val="clear" w:color="auto" w:fill="auto"/>
            <w:vAlign w:val="center"/>
          </w:tcPr>
          <w:p w14:paraId="36F5414E" w14:textId="77777777" w:rsidR="00BC577C" w:rsidRPr="009C0321" w:rsidRDefault="00182448" w:rsidP="009C0321">
            <w:pPr>
              <w:spacing w:after="0" w:line="240" w:lineRule="auto"/>
              <w:ind w:left="-108"/>
              <w:jc w:val="center"/>
              <w:rPr>
                <w:rFonts w:ascii="Times New Roman" w:hAnsi="Times New Roman"/>
                <w:szCs w:val="20"/>
              </w:rPr>
            </w:pPr>
            <w:r w:rsidRPr="009C0321">
              <w:rPr>
                <w:rFonts w:ascii="Times New Roman" w:hAnsi="Times New Roman"/>
                <w:szCs w:val="20"/>
              </w:rPr>
              <w:t>1</w:t>
            </w:r>
          </w:p>
        </w:tc>
        <w:tc>
          <w:tcPr>
            <w:tcW w:w="363" w:type="pct"/>
            <w:shd w:val="clear" w:color="auto" w:fill="auto"/>
            <w:vAlign w:val="center"/>
          </w:tcPr>
          <w:p w14:paraId="79D7309D" w14:textId="77777777" w:rsidR="00BC577C" w:rsidRPr="009C0321" w:rsidRDefault="00182448" w:rsidP="009C0321">
            <w:pPr>
              <w:spacing w:after="0" w:line="240" w:lineRule="auto"/>
              <w:ind w:left="-108"/>
              <w:jc w:val="center"/>
              <w:rPr>
                <w:rFonts w:ascii="Times New Roman" w:hAnsi="Times New Roman"/>
                <w:szCs w:val="20"/>
              </w:rPr>
            </w:pPr>
            <w:r w:rsidRPr="009C0321">
              <w:rPr>
                <w:rFonts w:ascii="Times New Roman" w:hAnsi="Times New Roman"/>
                <w:szCs w:val="20"/>
              </w:rPr>
              <w:t>2</w:t>
            </w:r>
          </w:p>
        </w:tc>
        <w:tc>
          <w:tcPr>
            <w:tcW w:w="455" w:type="pct"/>
            <w:vAlign w:val="center"/>
          </w:tcPr>
          <w:p w14:paraId="4F70EAB9" w14:textId="77777777" w:rsidR="00BC577C" w:rsidRPr="009C0321" w:rsidRDefault="00785E46" w:rsidP="009C0321">
            <w:pPr>
              <w:spacing w:after="0" w:line="240" w:lineRule="auto"/>
              <w:jc w:val="center"/>
              <w:rPr>
                <w:rFonts w:ascii="Times New Roman" w:hAnsi="Times New Roman"/>
                <w:szCs w:val="20"/>
              </w:rPr>
            </w:pPr>
            <w:r w:rsidRPr="009C0321">
              <w:rPr>
                <w:rFonts w:ascii="Times New Roman" w:hAnsi="Times New Roman"/>
                <w:szCs w:val="20"/>
              </w:rPr>
              <w:t>566,78</w:t>
            </w:r>
          </w:p>
        </w:tc>
        <w:tc>
          <w:tcPr>
            <w:tcW w:w="443" w:type="pct"/>
            <w:vAlign w:val="center"/>
          </w:tcPr>
          <w:p w14:paraId="39E9A66E" w14:textId="77777777" w:rsidR="00BC577C" w:rsidRPr="009C0321" w:rsidRDefault="00785E46" w:rsidP="009C0321">
            <w:pPr>
              <w:spacing w:after="0" w:line="240" w:lineRule="auto"/>
              <w:jc w:val="center"/>
              <w:rPr>
                <w:rFonts w:ascii="Times New Roman" w:hAnsi="Times New Roman"/>
                <w:szCs w:val="20"/>
              </w:rPr>
            </w:pPr>
            <w:r w:rsidRPr="009C0321">
              <w:rPr>
                <w:rFonts w:ascii="Times New Roman" w:hAnsi="Times New Roman"/>
                <w:szCs w:val="20"/>
              </w:rPr>
              <w:t>566,78</w:t>
            </w:r>
          </w:p>
        </w:tc>
      </w:tr>
      <w:tr w:rsidR="00BC577C" w:rsidRPr="009C0321" w14:paraId="72E0CA62" w14:textId="77777777" w:rsidTr="009D37A7">
        <w:tc>
          <w:tcPr>
            <w:tcW w:w="230" w:type="pct"/>
            <w:shd w:val="clear" w:color="auto" w:fill="auto"/>
          </w:tcPr>
          <w:p w14:paraId="210865EF" w14:textId="77777777" w:rsidR="00BC577C" w:rsidRPr="009C0321" w:rsidRDefault="00BC577C" w:rsidP="009C0321">
            <w:pPr>
              <w:spacing w:after="0" w:line="240" w:lineRule="auto"/>
              <w:jc w:val="center"/>
              <w:rPr>
                <w:rFonts w:ascii="Times New Roman" w:hAnsi="Times New Roman"/>
                <w:szCs w:val="20"/>
              </w:rPr>
            </w:pPr>
            <w:r w:rsidRPr="009C0321">
              <w:rPr>
                <w:rFonts w:ascii="Times New Roman" w:hAnsi="Times New Roman"/>
                <w:szCs w:val="20"/>
              </w:rPr>
              <w:t>2</w:t>
            </w:r>
          </w:p>
        </w:tc>
        <w:tc>
          <w:tcPr>
            <w:tcW w:w="2042" w:type="pct"/>
            <w:shd w:val="clear" w:color="auto" w:fill="auto"/>
          </w:tcPr>
          <w:p w14:paraId="5A3B33E0" w14:textId="77777777" w:rsidR="00BC577C" w:rsidRPr="009C0321" w:rsidRDefault="00541B26" w:rsidP="009C0321">
            <w:pPr>
              <w:spacing w:after="0" w:line="240" w:lineRule="auto"/>
              <w:rPr>
                <w:rFonts w:ascii="Times New Roman" w:hAnsi="Times New Roman"/>
                <w:szCs w:val="20"/>
              </w:rPr>
            </w:pPr>
            <w:r w:rsidRPr="009C0321">
              <w:rPr>
                <w:rFonts w:ascii="Times New Roman" w:hAnsi="Times New Roman"/>
                <w:szCs w:val="20"/>
              </w:rPr>
              <w:t>ул. Белые Росы, на территории, прилегающей к зданию № 16,</w:t>
            </w:r>
          </w:p>
          <w:p w14:paraId="2C41FF1A" w14:textId="77777777" w:rsidR="00541B26" w:rsidRPr="009C0321" w:rsidRDefault="00541B26" w:rsidP="009C0321">
            <w:pPr>
              <w:spacing w:after="0" w:line="240" w:lineRule="auto"/>
              <w:rPr>
                <w:rFonts w:ascii="Times New Roman" w:hAnsi="Times New Roman"/>
                <w:szCs w:val="20"/>
              </w:rPr>
            </w:pPr>
            <w:r w:rsidRPr="009C0321">
              <w:rPr>
                <w:rFonts w:ascii="Times New Roman" w:hAnsi="Times New Roman"/>
                <w:szCs w:val="20"/>
              </w:rPr>
              <w:t>сроком на 3 года</w:t>
            </w:r>
          </w:p>
        </w:tc>
        <w:tc>
          <w:tcPr>
            <w:tcW w:w="1043" w:type="pct"/>
          </w:tcPr>
          <w:p w14:paraId="7AE46368" w14:textId="77777777" w:rsidR="00BC577C" w:rsidRPr="009C0321" w:rsidRDefault="00541B26" w:rsidP="009C0321">
            <w:pPr>
              <w:spacing w:after="0" w:line="240" w:lineRule="auto"/>
              <w:rPr>
                <w:rFonts w:ascii="Times New Roman" w:hAnsi="Times New Roman"/>
                <w:szCs w:val="20"/>
              </w:rPr>
            </w:pPr>
            <w:r w:rsidRPr="009C0321">
              <w:rPr>
                <w:rFonts w:ascii="Times New Roman" w:hAnsi="Times New Roman"/>
                <w:szCs w:val="20"/>
              </w:rPr>
              <w:t>рекламная двусторонняя щитовая конструкция (6м х 3м)</w:t>
            </w:r>
          </w:p>
        </w:tc>
        <w:tc>
          <w:tcPr>
            <w:tcW w:w="424" w:type="pct"/>
            <w:shd w:val="clear" w:color="auto" w:fill="auto"/>
            <w:vAlign w:val="center"/>
          </w:tcPr>
          <w:p w14:paraId="26C67A41" w14:textId="77777777" w:rsidR="00BC577C" w:rsidRPr="009C0321" w:rsidRDefault="00541B26" w:rsidP="009C0321">
            <w:pPr>
              <w:spacing w:after="0" w:line="240" w:lineRule="auto"/>
              <w:ind w:left="-108"/>
              <w:jc w:val="center"/>
              <w:rPr>
                <w:rFonts w:ascii="Times New Roman" w:hAnsi="Times New Roman"/>
                <w:szCs w:val="20"/>
              </w:rPr>
            </w:pPr>
            <w:r w:rsidRPr="009C0321">
              <w:rPr>
                <w:rFonts w:ascii="Times New Roman" w:hAnsi="Times New Roman"/>
                <w:szCs w:val="20"/>
              </w:rPr>
              <w:t>1</w:t>
            </w:r>
          </w:p>
        </w:tc>
        <w:tc>
          <w:tcPr>
            <w:tcW w:w="363" w:type="pct"/>
            <w:shd w:val="clear" w:color="auto" w:fill="auto"/>
            <w:vAlign w:val="center"/>
          </w:tcPr>
          <w:p w14:paraId="274CD1A0" w14:textId="77777777" w:rsidR="00BC577C" w:rsidRPr="009C0321" w:rsidRDefault="00541B26" w:rsidP="009C0321">
            <w:pPr>
              <w:spacing w:after="0" w:line="240" w:lineRule="auto"/>
              <w:ind w:left="-108"/>
              <w:jc w:val="center"/>
              <w:rPr>
                <w:rFonts w:ascii="Times New Roman" w:hAnsi="Times New Roman"/>
                <w:szCs w:val="20"/>
              </w:rPr>
            </w:pPr>
            <w:r w:rsidRPr="009C0321">
              <w:rPr>
                <w:rFonts w:ascii="Times New Roman" w:hAnsi="Times New Roman"/>
                <w:szCs w:val="20"/>
              </w:rPr>
              <w:t>2</w:t>
            </w:r>
          </w:p>
        </w:tc>
        <w:tc>
          <w:tcPr>
            <w:tcW w:w="455" w:type="pct"/>
            <w:vAlign w:val="center"/>
          </w:tcPr>
          <w:p w14:paraId="4912C1F0" w14:textId="77777777" w:rsidR="00BC577C" w:rsidRPr="009C0321" w:rsidRDefault="00785E46" w:rsidP="009C0321">
            <w:pPr>
              <w:spacing w:after="0" w:line="240" w:lineRule="auto"/>
              <w:jc w:val="center"/>
              <w:rPr>
                <w:rFonts w:ascii="Times New Roman" w:hAnsi="Times New Roman"/>
                <w:szCs w:val="20"/>
              </w:rPr>
            </w:pPr>
            <w:r w:rsidRPr="009C0321">
              <w:rPr>
                <w:rFonts w:ascii="Times New Roman" w:hAnsi="Times New Roman"/>
                <w:szCs w:val="20"/>
              </w:rPr>
              <w:t>566,78</w:t>
            </w:r>
          </w:p>
        </w:tc>
        <w:tc>
          <w:tcPr>
            <w:tcW w:w="443" w:type="pct"/>
            <w:vAlign w:val="center"/>
          </w:tcPr>
          <w:p w14:paraId="6FA6F3B8" w14:textId="77777777" w:rsidR="00BC577C" w:rsidRPr="009C0321" w:rsidRDefault="00785E46" w:rsidP="009C0321">
            <w:pPr>
              <w:spacing w:after="0" w:line="240" w:lineRule="auto"/>
              <w:jc w:val="center"/>
              <w:rPr>
                <w:rFonts w:ascii="Times New Roman" w:hAnsi="Times New Roman"/>
                <w:szCs w:val="20"/>
              </w:rPr>
            </w:pPr>
            <w:r w:rsidRPr="009C0321">
              <w:rPr>
                <w:rFonts w:ascii="Times New Roman" w:hAnsi="Times New Roman"/>
                <w:szCs w:val="20"/>
              </w:rPr>
              <w:t>566,78</w:t>
            </w:r>
          </w:p>
        </w:tc>
      </w:tr>
      <w:tr w:rsidR="00BC577C" w:rsidRPr="009C0321" w14:paraId="2107FB82" w14:textId="77777777" w:rsidTr="009D37A7">
        <w:tc>
          <w:tcPr>
            <w:tcW w:w="230" w:type="pct"/>
            <w:shd w:val="clear" w:color="auto" w:fill="auto"/>
          </w:tcPr>
          <w:p w14:paraId="34C10B36" w14:textId="77777777" w:rsidR="00BC577C" w:rsidRPr="009C0321" w:rsidRDefault="00BC577C" w:rsidP="009C0321">
            <w:pPr>
              <w:spacing w:after="0" w:line="240" w:lineRule="auto"/>
              <w:jc w:val="center"/>
              <w:rPr>
                <w:rFonts w:ascii="Times New Roman" w:hAnsi="Times New Roman"/>
                <w:szCs w:val="20"/>
              </w:rPr>
            </w:pPr>
            <w:r w:rsidRPr="009C0321">
              <w:rPr>
                <w:rFonts w:ascii="Times New Roman" w:hAnsi="Times New Roman"/>
                <w:szCs w:val="20"/>
              </w:rPr>
              <w:t>3</w:t>
            </w:r>
          </w:p>
        </w:tc>
        <w:tc>
          <w:tcPr>
            <w:tcW w:w="2042" w:type="pct"/>
            <w:shd w:val="clear" w:color="auto" w:fill="auto"/>
          </w:tcPr>
          <w:p w14:paraId="6CD7E8F6" w14:textId="77777777" w:rsidR="00BC577C" w:rsidRPr="009C0321" w:rsidRDefault="00624DAC" w:rsidP="009C0321">
            <w:pPr>
              <w:spacing w:after="0" w:line="240" w:lineRule="auto"/>
              <w:rPr>
                <w:rFonts w:ascii="Times New Roman" w:hAnsi="Times New Roman"/>
                <w:szCs w:val="20"/>
              </w:rPr>
            </w:pPr>
            <w:proofErr w:type="spellStart"/>
            <w:r w:rsidRPr="009C0321">
              <w:rPr>
                <w:rFonts w:ascii="Times New Roman" w:hAnsi="Times New Roman"/>
                <w:szCs w:val="20"/>
              </w:rPr>
              <w:t>Скидельское</w:t>
            </w:r>
            <w:proofErr w:type="spellEnd"/>
            <w:r w:rsidRPr="009C0321">
              <w:rPr>
                <w:rFonts w:ascii="Times New Roman" w:hAnsi="Times New Roman"/>
                <w:szCs w:val="20"/>
              </w:rPr>
              <w:t xml:space="preserve"> шоссе, территория, прилегающая к зданию № 10,</w:t>
            </w:r>
          </w:p>
          <w:p w14:paraId="3211171C" w14:textId="77777777" w:rsidR="00624DAC" w:rsidRPr="009C0321" w:rsidRDefault="00624DAC" w:rsidP="009C0321">
            <w:pPr>
              <w:spacing w:after="0" w:line="240" w:lineRule="auto"/>
              <w:rPr>
                <w:rFonts w:ascii="Times New Roman" w:hAnsi="Times New Roman"/>
                <w:szCs w:val="20"/>
              </w:rPr>
            </w:pPr>
            <w:r w:rsidRPr="009C0321">
              <w:rPr>
                <w:rFonts w:ascii="Times New Roman" w:hAnsi="Times New Roman"/>
                <w:szCs w:val="20"/>
              </w:rPr>
              <w:t>сроком на 3 года</w:t>
            </w:r>
          </w:p>
        </w:tc>
        <w:tc>
          <w:tcPr>
            <w:tcW w:w="1043" w:type="pct"/>
          </w:tcPr>
          <w:p w14:paraId="54B05CD2" w14:textId="77777777" w:rsidR="00BC577C" w:rsidRPr="009C0321" w:rsidRDefault="007F4EC0" w:rsidP="009C0321">
            <w:pPr>
              <w:spacing w:after="0" w:line="240" w:lineRule="auto"/>
              <w:rPr>
                <w:rFonts w:ascii="Times New Roman" w:hAnsi="Times New Roman"/>
                <w:szCs w:val="20"/>
              </w:rPr>
            </w:pPr>
            <w:r w:rsidRPr="009C0321">
              <w:rPr>
                <w:rFonts w:ascii="Times New Roman" w:hAnsi="Times New Roman"/>
                <w:szCs w:val="20"/>
              </w:rPr>
              <w:t>рекламный двусторонний световой пилон (5,5м х 3,4</w:t>
            </w:r>
            <w:r w:rsidR="0038516F" w:rsidRPr="009C0321">
              <w:rPr>
                <w:rFonts w:ascii="Times New Roman" w:hAnsi="Times New Roman"/>
                <w:szCs w:val="20"/>
              </w:rPr>
              <w:t>м</w:t>
            </w:r>
            <w:r w:rsidRPr="009C0321">
              <w:rPr>
                <w:rFonts w:ascii="Times New Roman" w:hAnsi="Times New Roman"/>
                <w:szCs w:val="20"/>
              </w:rPr>
              <w:t>)</w:t>
            </w:r>
          </w:p>
        </w:tc>
        <w:tc>
          <w:tcPr>
            <w:tcW w:w="424" w:type="pct"/>
            <w:shd w:val="clear" w:color="auto" w:fill="auto"/>
            <w:vAlign w:val="center"/>
          </w:tcPr>
          <w:p w14:paraId="0CE5C15A" w14:textId="77777777" w:rsidR="00BC577C" w:rsidRPr="009C0321" w:rsidRDefault="007F4EC0" w:rsidP="009C0321">
            <w:pPr>
              <w:spacing w:after="0" w:line="240" w:lineRule="auto"/>
              <w:ind w:left="-108"/>
              <w:jc w:val="center"/>
              <w:rPr>
                <w:rFonts w:ascii="Times New Roman" w:hAnsi="Times New Roman"/>
                <w:szCs w:val="20"/>
              </w:rPr>
            </w:pPr>
            <w:r w:rsidRPr="009C0321">
              <w:rPr>
                <w:rFonts w:ascii="Times New Roman" w:hAnsi="Times New Roman"/>
                <w:szCs w:val="20"/>
              </w:rPr>
              <w:t>1</w:t>
            </w:r>
          </w:p>
        </w:tc>
        <w:tc>
          <w:tcPr>
            <w:tcW w:w="363" w:type="pct"/>
            <w:shd w:val="clear" w:color="auto" w:fill="auto"/>
            <w:vAlign w:val="center"/>
          </w:tcPr>
          <w:p w14:paraId="65376419" w14:textId="77777777" w:rsidR="00BC577C" w:rsidRPr="009C0321" w:rsidRDefault="007F4EC0" w:rsidP="009C0321">
            <w:pPr>
              <w:spacing w:after="0" w:line="240" w:lineRule="auto"/>
              <w:ind w:left="-108"/>
              <w:jc w:val="center"/>
              <w:rPr>
                <w:rFonts w:ascii="Times New Roman" w:hAnsi="Times New Roman"/>
                <w:szCs w:val="20"/>
              </w:rPr>
            </w:pPr>
            <w:r w:rsidRPr="009C0321">
              <w:rPr>
                <w:rFonts w:ascii="Times New Roman" w:hAnsi="Times New Roman"/>
                <w:szCs w:val="20"/>
              </w:rPr>
              <w:t>2</w:t>
            </w:r>
          </w:p>
        </w:tc>
        <w:tc>
          <w:tcPr>
            <w:tcW w:w="455" w:type="pct"/>
            <w:vAlign w:val="center"/>
          </w:tcPr>
          <w:p w14:paraId="1907FB16" w14:textId="77777777" w:rsidR="00BC577C" w:rsidRPr="009C0321" w:rsidRDefault="00785E46" w:rsidP="009C0321">
            <w:pPr>
              <w:spacing w:after="0" w:line="240" w:lineRule="auto"/>
              <w:jc w:val="center"/>
              <w:rPr>
                <w:rFonts w:ascii="Times New Roman" w:hAnsi="Times New Roman"/>
                <w:szCs w:val="20"/>
              </w:rPr>
            </w:pPr>
            <w:r w:rsidRPr="009C0321">
              <w:rPr>
                <w:rFonts w:ascii="Times New Roman" w:hAnsi="Times New Roman"/>
                <w:szCs w:val="20"/>
              </w:rPr>
              <w:t>692,72</w:t>
            </w:r>
          </w:p>
        </w:tc>
        <w:tc>
          <w:tcPr>
            <w:tcW w:w="443" w:type="pct"/>
            <w:vAlign w:val="center"/>
          </w:tcPr>
          <w:p w14:paraId="623832F6" w14:textId="77777777" w:rsidR="00BC577C" w:rsidRPr="009C0321" w:rsidRDefault="00785E46" w:rsidP="009C0321">
            <w:pPr>
              <w:spacing w:after="0" w:line="240" w:lineRule="auto"/>
              <w:jc w:val="center"/>
              <w:rPr>
                <w:rFonts w:ascii="Times New Roman" w:hAnsi="Times New Roman"/>
                <w:szCs w:val="20"/>
              </w:rPr>
            </w:pPr>
            <w:r w:rsidRPr="009C0321">
              <w:rPr>
                <w:rFonts w:ascii="Times New Roman" w:hAnsi="Times New Roman"/>
                <w:szCs w:val="20"/>
              </w:rPr>
              <w:t>692,72</w:t>
            </w:r>
          </w:p>
        </w:tc>
      </w:tr>
      <w:tr w:rsidR="00BC577C" w:rsidRPr="009C0321" w14:paraId="09131E6E" w14:textId="77777777" w:rsidTr="009D37A7">
        <w:tc>
          <w:tcPr>
            <w:tcW w:w="230" w:type="pct"/>
            <w:shd w:val="clear" w:color="auto" w:fill="auto"/>
          </w:tcPr>
          <w:p w14:paraId="4A487288" w14:textId="77777777" w:rsidR="00BC577C" w:rsidRPr="009C0321" w:rsidRDefault="00BC577C" w:rsidP="009C0321">
            <w:pPr>
              <w:spacing w:after="0" w:line="240" w:lineRule="auto"/>
              <w:jc w:val="center"/>
              <w:rPr>
                <w:rFonts w:ascii="Times New Roman" w:hAnsi="Times New Roman"/>
                <w:szCs w:val="20"/>
              </w:rPr>
            </w:pPr>
            <w:r w:rsidRPr="009C0321">
              <w:rPr>
                <w:rFonts w:ascii="Times New Roman" w:hAnsi="Times New Roman"/>
                <w:szCs w:val="20"/>
              </w:rPr>
              <w:t>4</w:t>
            </w:r>
          </w:p>
        </w:tc>
        <w:tc>
          <w:tcPr>
            <w:tcW w:w="2042" w:type="pct"/>
            <w:shd w:val="clear" w:color="auto" w:fill="auto"/>
          </w:tcPr>
          <w:p w14:paraId="585EB01C" w14:textId="77777777" w:rsidR="00BC577C" w:rsidRPr="009C0321" w:rsidRDefault="001C2F32" w:rsidP="009C0321">
            <w:pPr>
              <w:spacing w:after="0" w:line="240" w:lineRule="auto"/>
              <w:rPr>
                <w:rFonts w:ascii="Times New Roman" w:hAnsi="Times New Roman"/>
                <w:szCs w:val="20"/>
              </w:rPr>
            </w:pPr>
            <w:r w:rsidRPr="009C0321">
              <w:rPr>
                <w:rFonts w:ascii="Times New Roman" w:hAnsi="Times New Roman"/>
                <w:szCs w:val="20"/>
              </w:rPr>
              <w:t>ул. Пучкова, территория, прилегающая к зданию № 35,</w:t>
            </w:r>
          </w:p>
          <w:p w14:paraId="439700CE" w14:textId="77777777" w:rsidR="001C2F32" w:rsidRPr="009C0321" w:rsidRDefault="001C2F32" w:rsidP="009C0321">
            <w:pPr>
              <w:spacing w:after="0" w:line="240" w:lineRule="auto"/>
              <w:rPr>
                <w:rFonts w:ascii="Times New Roman" w:hAnsi="Times New Roman"/>
                <w:szCs w:val="20"/>
              </w:rPr>
            </w:pPr>
            <w:r w:rsidRPr="009C0321">
              <w:rPr>
                <w:rFonts w:ascii="Times New Roman" w:hAnsi="Times New Roman"/>
                <w:szCs w:val="20"/>
              </w:rPr>
              <w:t>сроком на 3 года</w:t>
            </w:r>
          </w:p>
        </w:tc>
        <w:tc>
          <w:tcPr>
            <w:tcW w:w="1043" w:type="pct"/>
          </w:tcPr>
          <w:p w14:paraId="1306C87D" w14:textId="77777777" w:rsidR="00BC577C" w:rsidRPr="009C0321" w:rsidRDefault="001C2F32" w:rsidP="009C0321">
            <w:pPr>
              <w:spacing w:after="0" w:line="240" w:lineRule="auto"/>
              <w:rPr>
                <w:rFonts w:ascii="Times New Roman" w:hAnsi="Times New Roman"/>
                <w:szCs w:val="20"/>
              </w:rPr>
            </w:pPr>
            <w:r w:rsidRPr="009C0321">
              <w:rPr>
                <w:rFonts w:ascii="Times New Roman" w:hAnsi="Times New Roman"/>
                <w:szCs w:val="20"/>
              </w:rPr>
              <w:t>рекламный двусторонний световой пилон (2,7м х 1,1м)</w:t>
            </w:r>
          </w:p>
        </w:tc>
        <w:tc>
          <w:tcPr>
            <w:tcW w:w="424" w:type="pct"/>
            <w:shd w:val="clear" w:color="auto" w:fill="auto"/>
            <w:vAlign w:val="center"/>
          </w:tcPr>
          <w:p w14:paraId="06461B3C" w14:textId="77777777" w:rsidR="00BC577C" w:rsidRPr="009C0321" w:rsidRDefault="001C2F32" w:rsidP="009C0321">
            <w:pPr>
              <w:spacing w:after="0" w:line="240" w:lineRule="auto"/>
              <w:ind w:left="-108"/>
              <w:jc w:val="center"/>
              <w:rPr>
                <w:rFonts w:ascii="Times New Roman" w:hAnsi="Times New Roman"/>
                <w:szCs w:val="20"/>
              </w:rPr>
            </w:pPr>
            <w:r w:rsidRPr="009C0321">
              <w:rPr>
                <w:rFonts w:ascii="Times New Roman" w:hAnsi="Times New Roman"/>
                <w:szCs w:val="20"/>
              </w:rPr>
              <w:t>1</w:t>
            </w:r>
          </w:p>
        </w:tc>
        <w:tc>
          <w:tcPr>
            <w:tcW w:w="363" w:type="pct"/>
            <w:shd w:val="clear" w:color="auto" w:fill="auto"/>
            <w:vAlign w:val="center"/>
          </w:tcPr>
          <w:p w14:paraId="4A8F8CA3" w14:textId="77777777" w:rsidR="00BC577C" w:rsidRPr="009C0321" w:rsidRDefault="001C2F32" w:rsidP="009C0321">
            <w:pPr>
              <w:spacing w:after="0" w:line="240" w:lineRule="auto"/>
              <w:ind w:left="-108"/>
              <w:jc w:val="center"/>
              <w:rPr>
                <w:rFonts w:ascii="Times New Roman" w:hAnsi="Times New Roman"/>
                <w:szCs w:val="20"/>
              </w:rPr>
            </w:pPr>
            <w:r w:rsidRPr="009C0321">
              <w:rPr>
                <w:rFonts w:ascii="Times New Roman" w:hAnsi="Times New Roman"/>
                <w:szCs w:val="20"/>
              </w:rPr>
              <w:t>2</w:t>
            </w:r>
          </w:p>
        </w:tc>
        <w:tc>
          <w:tcPr>
            <w:tcW w:w="455" w:type="pct"/>
            <w:vAlign w:val="center"/>
          </w:tcPr>
          <w:p w14:paraId="001319C4" w14:textId="77777777" w:rsidR="00BC577C" w:rsidRPr="009C0321" w:rsidRDefault="00785E46" w:rsidP="009C0321">
            <w:pPr>
              <w:spacing w:after="0" w:line="240" w:lineRule="auto"/>
              <w:jc w:val="center"/>
              <w:rPr>
                <w:rFonts w:ascii="Times New Roman" w:hAnsi="Times New Roman"/>
                <w:szCs w:val="20"/>
              </w:rPr>
            </w:pPr>
            <w:r w:rsidRPr="009C0321">
              <w:rPr>
                <w:rFonts w:ascii="Times New Roman" w:hAnsi="Times New Roman"/>
                <w:szCs w:val="20"/>
              </w:rPr>
              <w:t>157,18</w:t>
            </w:r>
          </w:p>
        </w:tc>
        <w:tc>
          <w:tcPr>
            <w:tcW w:w="443" w:type="pct"/>
            <w:vAlign w:val="center"/>
          </w:tcPr>
          <w:p w14:paraId="77D031CB" w14:textId="77777777" w:rsidR="00BC577C" w:rsidRPr="009C0321" w:rsidRDefault="00785E46" w:rsidP="009C0321">
            <w:pPr>
              <w:spacing w:after="0" w:line="240" w:lineRule="auto"/>
              <w:jc w:val="center"/>
              <w:rPr>
                <w:rFonts w:ascii="Times New Roman" w:hAnsi="Times New Roman"/>
                <w:szCs w:val="20"/>
              </w:rPr>
            </w:pPr>
            <w:r w:rsidRPr="009C0321">
              <w:rPr>
                <w:rFonts w:ascii="Times New Roman" w:hAnsi="Times New Roman"/>
                <w:szCs w:val="20"/>
              </w:rPr>
              <w:t>157,18</w:t>
            </w:r>
          </w:p>
        </w:tc>
      </w:tr>
      <w:tr w:rsidR="00BC577C" w:rsidRPr="009C0321" w14:paraId="1E7CCFE9" w14:textId="77777777" w:rsidTr="009D37A7">
        <w:tc>
          <w:tcPr>
            <w:tcW w:w="230" w:type="pct"/>
            <w:shd w:val="clear" w:color="auto" w:fill="auto"/>
          </w:tcPr>
          <w:p w14:paraId="3D830F71" w14:textId="77777777" w:rsidR="00BC577C" w:rsidRPr="009C0321" w:rsidRDefault="00BC577C" w:rsidP="009C0321">
            <w:pPr>
              <w:spacing w:after="0" w:line="240" w:lineRule="auto"/>
              <w:jc w:val="center"/>
              <w:rPr>
                <w:rFonts w:ascii="Times New Roman" w:hAnsi="Times New Roman"/>
                <w:szCs w:val="20"/>
              </w:rPr>
            </w:pPr>
            <w:r w:rsidRPr="009C0321">
              <w:rPr>
                <w:rFonts w:ascii="Times New Roman" w:hAnsi="Times New Roman"/>
                <w:szCs w:val="20"/>
              </w:rPr>
              <w:t>5</w:t>
            </w:r>
          </w:p>
        </w:tc>
        <w:tc>
          <w:tcPr>
            <w:tcW w:w="2042" w:type="pct"/>
            <w:shd w:val="clear" w:color="auto" w:fill="auto"/>
          </w:tcPr>
          <w:p w14:paraId="67F445B4" w14:textId="77777777" w:rsidR="0038516F" w:rsidRPr="009C0321" w:rsidRDefault="0038516F" w:rsidP="009C0321">
            <w:pPr>
              <w:spacing w:after="0" w:line="240" w:lineRule="auto"/>
              <w:rPr>
                <w:rFonts w:ascii="Times New Roman" w:hAnsi="Times New Roman"/>
                <w:szCs w:val="20"/>
              </w:rPr>
            </w:pPr>
            <w:proofErr w:type="spellStart"/>
            <w:r w:rsidRPr="009C0321">
              <w:rPr>
                <w:rFonts w:ascii="Times New Roman" w:hAnsi="Times New Roman"/>
                <w:szCs w:val="20"/>
              </w:rPr>
              <w:t>Скидельское</w:t>
            </w:r>
            <w:proofErr w:type="spellEnd"/>
            <w:r w:rsidRPr="009C0321">
              <w:rPr>
                <w:rFonts w:ascii="Times New Roman" w:hAnsi="Times New Roman"/>
                <w:szCs w:val="20"/>
              </w:rPr>
              <w:t xml:space="preserve"> шоссе, территория, прилегающая к зданию № 2,</w:t>
            </w:r>
          </w:p>
          <w:p w14:paraId="2122FA8F" w14:textId="77777777" w:rsidR="00BC577C" w:rsidRPr="009C0321" w:rsidRDefault="0038516F" w:rsidP="009C0321">
            <w:pPr>
              <w:spacing w:after="0" w:line="240" w:lineRule="auto"/>
              <w:rPr>
                <w:rFonts w:ascii="Times New Roman" w:hAnsi="Times New Roman"/>
                <w:szCs w:val="20"/>
              </w:rPr>
            </w:pPr>
            <w:r w:rsidRPr="009C0321">
              <w:rPr>
                <w:rFonts w:ascii="Times New Roman" w:hAnsi="Times New Roman"/>
                <w:szCs w:val="20"/>
              </w:rPr>
              <w:t>сроком на 3 года</w:t>
            </w:r>
          </w:p>
        </w:tc>
        <w:tc>
          <w:tcPr>
            <w:tcW w:w="1043" w:type="pct"/>
          </w:tcPr>
          <w:p w14:paraId="55F31691" w14:textId="77777777" w:rsidR="00BC577C" w:rsidRPr="009C0321" w:rsidRDefault="0038516F" w:rsidP="009C0321">
            <w:pPr>
              <w:spacing w:after="0" w:line="240" w:lineRule="auto"/>
              <w:rPr>
                <w:rFonts w:ascii="Times New Roman" w:hAnsi="Times New Roman"/>
                <w:szCs w:val="20"/>
              </w:rPr>
            </w:pPr>
            <w:r w:rsidRPr="009C0321">
              <w:rPr>
                <w:rFonts w:ascii="Times New Roman" w:hAnsi="Times New Roman"/>
                <w:szCs w:val="20"/>
              </w:rPr>
              <w:t>рекламный двусторонний световой пилон (4,35м х 2,8м)</w:t>
            </w:r>
          </w:p>
        </w:tc>
        <w:tc>
          <w:tcPr>
            <w:tcW w:w="424" w:type="pct"/>
            <w:shd w:val="clear" w:color="auto" w:fill="auto"/>
            <w:vAlign w:val="center"/>
          </w:tcPr>
          <w:p w14:paraId="69B5919D" w14:textId="77777777" w:rsidR="00BC577C" w:rsidRPr="009C0321" w:rsidRDefault="0038516F" w:rsidP="009C0321">
            <w:pPr>
              <w:spacing w:after="0" w:line="240" w:lineRule="auto"/>
              <w:ind w:left="-108"/>
              <w:jc w:val="center"/>
              <w:rPr>
                <w:rFonts w:ascii="Times New Roman" w:hAnsi="Times New Roman"/>
                <w:szCs w:val="20"/>
              </w:rPr>
            </w:pPr>
            <w:r w:rsidRPr="009C0321">
              <w:rPr>
                <w:rFonts w:ascii="Times New Roman" w:hAnsi="Times New Roman"/>
                <w:szCs w:val="20"/>
              </w:rPr>
              <w:t>1</w:t>
            </w:r>
          </w:p>
        </w:tc>
        <w:tc>
          <w:tcPr>
            <w:tcW w:w="363" w:type="pct"/>
            <w:shd w:val="clear" w:color="auto" w:fill="auto"/>
            <w:vAlign w:val="center"/>
          </w:tcPr>
          <w:p w14:paraId="75A0252D" w14:textId="77777777" w:rsidR="00BC577C" w:rsidRPr="009C0321" w:rsidRDefault="0038516F" w:rsidP="009C0321">
            <w:pPr>
              <w:spacing w:after="0" w:line="240" w:lineRule="auto"/>
              <w:ind w:left="-108"/>
              <w:jc w:val="center"/>
              <w:rPr>
                <w:rFonts w:ascii="Times New Roman" w:hAnsi="Times New Roman"/>
                <w:szCs w:val="20"/>
              </w:rPr>
            </w:pPr>
            <w:r w:rsidRPr="009C0321">
              <w:rPr>
                <w:rFonts w:ascii="Times New Roman" w:hAnsi="Times New Roman"/>
                <w:szCs w:val="20"/>
              </w:rPr>
              <w:t>2</w:t>
            </w:r>
          </w:p>
        </w:tc>
        <w:tc>
          <w:tcPr>
            <w:tcW w:w="455" w:type="pct"/>
            <w:vAlign w:val="center"/>
          </w:tcPr>
          <w:p w14:paraId="1BBF13D4" w14:textId="77777777" w:rsidR="00BC577C" w:rsidRPr="009C0321" w:rsidRDefault="00785E46" w:rsidP="009C0321">
            <w:pPr>
              <w:spacing w:after="0" w:line="240" w:lineRule="auto"/>
              <w:jc w:val="center"/>
              <w:rPr>
                <w:rFonts w:ascii="Times New Roman" w:hAnsi="Times New Roman"/>
                <w:szCs w:val="20"/>
              </w:rPr>
            </w:pPr>
            <w:r w:rsidRPr="009C0321">
              <w:rPr>
                <w:rFonts w:ascii="Times New Roman" w:hAnsi="Times New Roman"/>
                <w:szCs w:val="20"/>
              </w:rPr>
              <w:t>644,56</w:t>
            </w:r>
          </w:p>
        </w:tc>
        <w:tc>
          <w:tcPr>
            <w:tcW w:w="443" w:type="pct"/>
            <w:vAlign w:val="center"/>
          </w:tcPr>
          <w:p w14:paraId="0C6875D3" w14:textId="77777777" w:rsidR="00BC577C" w:rsidRPr="009C0321" w:rsidRDefault="00785E46" w:rsidP="009C0321">
            <w:pPr>
              <w:spacing w:after="0" w:line="240" w:lineRule="auto"/>
              <w:jc w:val="center"/>
              <w:rPr>
                <w:rFonts w:ascii="Times New Roman" w:hAnsi="Times New Roman"/>
                <w:szCs w:val="20"/>
              </w:rPr>
            </w:pPr>
            <w:r w:rsidRPr="009C0321">
              <w:rPr>
                <w:rFonts w:ascii="Times New Roman" w:hAnsi="Times New Roman"/>
                <w:szCs w:val="20"/>
              </w:rPr>
              <w:t>644,56</w:t>
            </w:r>
          </w:p>
        </w:tc>
      </w:tr>
    </w:tbl>
    <w:p w14:paraId="3540D039" w14:textId="77777777" w:rsidR="0001263E" w:rsidRPr="009C0321" w:rsidRDefault="0001263E" w:rsidP="009C0321">
      <w:pPr>
        <w:tabs>
          <w:tab w:val="left" w:pos="0"/>
        </w:tabs>
        <w:spacing w:after="0" w:line="240" w:lineRule="auto"/>
        <w:ind w:right="-28"/>
        <w:jc w:val="both"/>
        <w:rPr>
          <w:rFonts w:ascii="Times New Roman" w:hAnsi="Times New Roman" w:cs="Times New Roman"/>
          <w:spacing w:val="-2"/>
          <w:szCs w:val="20"/>
        </w:rPr>
      </w:pPr>
      <w:r w:rsidRPr="009C0321">
        <w:rPr>
          <w:rFonts w:ascii="Times New Roman" w:hAnsi="Times New Roman" w:cs="Times New Roman"/>
          <w:bCs/>
          <w:szCs w:val="20"/>
        </w:rPr>
        <w:t xml:space="preserve">Аукцион состоится </w:t>
      </w:r>
      <w:r w:rsidR="00402F7F" w:rsidRPr="009C0321">
        <w:rPr>
          <w:rFonts w:ascii="Times New Roman" w:hAnsi="Times New Roman" w:cs="Times New Roman"/>
          <w:b/>
          <w:bCs/>
          <w:szCs w:val="20"/>
        </w:rPr>
        <w:t>20 января 2026</w:t>
      </w:r>
      <w:r w:rsidRPr="009C0321">
        <w:rPr>
          <w:rFonts w:ascii="Times New Roman" w:hAnsi="Times New Roman" w:cs="Times New Roman"/>
          <w:b/>
          <w:bCs/>
          <w:szCs w:val="20"/>
        </w:rPr>
        <w:t xml:space="preserve"> года</w:t>
      </w:r>
      <w:r w:rsidRPr="009C0321">
        <w:rPr>
          <w:rFonts w:ascii="Times New Roman" w:hAnsi="Times New Roman" w:cs="Times New Roman"/>
          <w:szCs w:val="20"/>
        </w:rPr>
        <w:t xml:space="preserve"> в 12:00 в здании горисполкома по адресу: г. Гродно, пл. Ленина, 2/1, актовый зал.</w:t>
      </w:r>
      <w:r w:rsidR="00402F7F" w:rsidRPr="009C0321">
        <w:rPr>
          <w:rFonts w:ascii="Times New Roman" w:hAnsi="Times New Roman" w:cs="Times New Roman"/>
          <w:szCs w:val="20"/>
        </w:rPr>
        <w:t xml:space="preserve"> </w:t>
      </w:r>
      <w:r w:rsidRPr="009C0321">
        <w:rPr>
          <w:rFonts w:ascii="Times New Roman" w:hAnsi="Times New Roman" w:cs="Times New Roman"/>
          <w:spacing w:val="-2"/>
          <w:szCs w:val="20"/>
        </w:rPr>
        <w:t>Организатор аукциона: коммунальное унитарное предприятие по оказанию услуг «Гродненский центр недвижимости», г.</w:t>
      </w:r>
      <w:r w:rsidR="00817112" w:rsidRPr="009C0321">
        <w:rPr>
          <w:rFonts w:ascii="Times New Roman" w:hAnsi="Times New Roman" w:cs="Times New Roman"/>
          <w:spacing w:val="-2"/>
          <w:szCs w:val="20"/>
        </w:rPr>
        <w:t xml:space="preserve"> </w:t>
      </w:r>
      <w:r w:rsidRPr="009C0321">
        <w:rPr>
          <w:rFonts w:ascii="Times New Roman" w:hAnsi="Times New Roman" w:cs="Times New Roman"/>
          <w:spacing w:val="-2"/>
          <w:szCs w:val="20"/>
        </w:rPr>
        <w:t>Гродно, пл.</w:t>
      </w:r>
      <w:r w:rsidR="00817112" w:rsidRPr="009C0321">
        <w:rPr>
          <w:rFonts w:ascii="Times New Roman" w:hAnsi="Times New Roman" w:cs="Times New Roman"/>
          <w:spacing w:val="-2"/>
          <w:szCs w:val="20"/>
        </w:rPr>
        <w:t xml:space="preserve"> </w:t>
      </w:r>
      <w:r w:rsidRPr="009C0321">
        <w:rPr>
          <w:rFonts w:ascii="Times New Roman" w:hAnsi="Times New Roman" w:cs="Times New Roman"/>
          <w:spacing w:val="-2"/>
          <w:szCs w:val="20"/>
        </w:rPr>
        <w:t>Лен</w:t>
      </w:r>
      <w:r w:rsidR="00BD0EF2" w:rsidRPr="009C0321">
        <w:rPr>
          <w:rFonts w:ascii="Times New Roman" w:hAnsi="Times New Roman" w:cs="Times New Roman"/>
          <w:spacing w:val="-2"/>
          <w:szCs w:val="20"/>
        </w:rPr>
        <w:t>ина, 2/1, телефоны: 8</w:t>
      </w:r>
      <w:r w:rsidR="007F4E04">
        <w:rPr>
          <w:rFonts w:ascii="Times New Roman" w:hAnsi="Times New Roman" w:cs="Times New Roman"/>
          <w:spacing w:val="-2"/>
          <w:szCs w:val="20"/>
        </w:rPr>
        <w:t xml:space="preserve"> </w:t>
      </w:r>
      <w:r w:rsidR="00BD0EF2" w:rsidRPr="009C0321">
        <w:rPr>
          <w:rFonts w:ascii="Times New Roman" w:hAnsi="Times New Roman" w:cs="Times New Roman"/>
          <w:spacing w:val="-2"/>
          <w:szCs w:val="20"/>
        </w:rPr>
        <w:t>(152)</w:t>
      </w:r>
      <w:r w:rsidR="007F4E04">
        <w:rPr>
          <w:rFonts w:ascii="Times New Roman" w:hAnsi="Times New Roman" w:cs="Times New Roman"/>
          <w:spacing w:val="-2"/>
          <w:szCs w:val="20"/>
        </w:rPr>
        <w:t xml:space="preserve"> </w:t>
      </w:r>
      <w:r w:rsidR="00BD0EF2" w:rsidRPr="009C0321">
        <w:rPr>
          <w:rFonts w:ascii="Times New Roman" w:hAnsi="Times New Roman" w:cs="Times New Roman"/>
          <w:spacing w:val="-2"/>
          <w:szCs w:val="20"/>
        </w:rPr>
        <w:t>626055, 6260</w:t>
      </w:r>
      <w:r w:rsidRPr="009C0321">
        <w:rPr>
          <w:rFonts w:ascii="Times New Roman" w:hAnsi="Times New Roman" w:cs="Times New Roman"/>
          <w:spacing w:val="-2"/>
          <w:szCs w:val="20"/>
        </w:rPr>
        <w:t>56</w:t>
      </w:r>
      <w:r w:rsidR="00402F7F" w:rsidRPr="009C0321">
        <w:rPr>
          <w:rFonts w:ascii="Times New Roman" w:hAnsi="Times New Roman" w:cs="Times New Roman"/>
          <w:spacing w:val="-2"/>
          <w:szCs w:val="20"/>
        </w:rPr>
        <w:t>; 8 (029) 5444025</w:t>
      </w:r>
    </w:p>
    <w:p w14:paraId="1280E57D" w14:textId="77777777" w:rsidR="0001263E" w:rsidRPr="009C0321" w:rsidRDefault="00644858"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t xml:space="preserve">Задаток вносится в белорусских рублях в сумме согласно настоящему извещению не позднее </w:t>
      </w:r>
      <w:r w:rsidR="00402F7F" w:rsidRPr="009C0321">
        <w:rPr>
          <w:rFonts w:ascii="Times New Roman" w:hAnsi="Times New Roman" w:cs="Times New Roman"/>
          <w:b/>
          <w:szCs w:val="20"/>
        </w:rPr>
        <w:t>14 января</w:t>
      </w:r>
      <w:r w:rsidR="00BD0EF2" w:rsidRPr="009C0321">
        <w:rPr>
          <w:rFonts w:ascii="Times New Roman" w:hAnsi="Times New Roman" w:cs="Times New Roman"/>
          <w:b/>
          <w:szCs w:val="20"/>
        </w:rPr>
        <w:t xml:space="preserve"> </w:t>
      </w:r>
      <w:r w:rsidR="00402F7F" w:rsidRPr="009C0321">
        <w:rPr>
          <w:rFonts w:ascii="Times New Roman" w:hAnsi="Times New Roman" w:cs="Times New Roman"/>
          <w:b/>
          <w:szCs w:val="20"/>
        </w:rPr>
        <w:t>2026</w:t>
      </w:r>
      <w:r w:rsidRPr="009C0321">
        <w:rPr>
          <w:rFonts w:ascii="Times New Roman" w:hAnsi="Times New Roman" w:cs="Times New Roman"/>
          <w:b/>
          <w:szCs w:val="20"/>
        </w:rPr>
        <w:t xml:space="preserve"> года</w:t>
      </w:r>
      <w:r w:rsidRPr="009C0321">
        <w:rPr>
          <w:rFonts w:ascii="Times New Roman" w:hAnsi="Times New Roman" w:cs="Times New Roman"/>
          <w:szCs w:val="20"/>
        </w:rPr>
        <w:t xml:space="preserve"> (в случае участия в торгах в отношении нескольких лотов задаток вносится для каждого из предметов аукциона), на расчетный счет </w:t>
      </w:r>
      <w:r w:rsidRPr="009C0321">
        <w:rPr>
          <w:rFonts w:ascii="Times New Roman" w:hAnsi="Times New Roman" w:cs="Times New Roman"/>
          <w:szCs w:val="20"/>
          <w:u w:val="single"/>
        </w:rPr>
        <w:t>BY24 AKBB 3012 0000 4181 0400 0000 Гродненское областное управление №400 ОАО АСБ «Беларусбанк», г. Гродно, БИК AKBBBY2Х, УНП 590727594, код назначения платежа 40901, получатель – коммунальное унитарное</w:t>
      </w:r>
      <w:r w:rsidR="0010252D" w:rsidRPr="009C0321">
        <w:rPr>
          <w:rFonts w:ascii="Times New Roman" w:hAnsi="Times New Roman" w:cs="Times New Roman"/>
          <w:szCs w:val="20"/>
          <w:u w:val="single"/>
        </w:rPr>
        <w:t xml:space="preserve"> предприятие по оказанию услуг </w:t>
      </w:r>
      <w:r w:rsidRPr="009C0321">
        <w:rPr>
          <w:rFonts w:ascii="Times New Roman" w:hAnsi="Times New Roman" w:cs="Times New Roman"/>
          <w:szCs w:val="20"/>
          <w:u w:val="single"/>
        </w:rPr>
        <w:t>«Гродненский центр недвижимости»</w:t>
      </w:r>
      <w:r w:rsidRPr="009C0321">
        <w:rPr>
          <w:rFonts w:ascii="Times New Roman" w:hAnsi="Times New Roman" w:cs="Times New Roman"/>
          <w:szCs w:val="20"/>
        </w:rPr>
        <w:t>.</w:t>
      </w:r>
    </w:p>
    <w:p w14:paraId="75F0AA86" w14:textId="77777777" w:rsidR="00AA259D" w:rsidRPr="009C0321" w:rsidRDefault="00AA259D"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t>Победитель аукциона (лицо, приравненное к победителю аукциона) в течение пяти рабочих дней со дня проведения аукциона обязан перечислить на расчетный счет, указанный в протоколе о результатах торгов, сумму средств, за которую продан предмет торгов, за вычетом внесенной им суммы задатка, а также возместить организатору торгов затраты на их организацию и проведение.</w:t>
      </w:r>
      <w:r w:rsidR="00ED3053" w:rsidRPr="009C0321">
        <w:rPr>
          <w:rFonts w:ascii="Times New Roman" w:hAnsi="Times New Roman" w:cs="Times New Roman"/>
          <w:szCs w:val="20"/>
        </w:rPr>
        <w:t xml:space="preserve"> </w:t>
      </w:r>
      <w:r w:rsidRPr="009C0321">
        <w:rPr>
          <w:rFonts w:ascii="Times New Roman" w:hAnsi="Times New Roman" w:cs="Times New Roman"/>
          <w:szCs w:val="20"/>
        </w:rPr>
        <w:t xml:space="preserve">Заявления на участие в аукционе принимаются по адресу: г. Гродно, пл. Ленина 2/1, кабинет № 117, в рабочие дни с 8:00-13:00 и 14:00-17:00 </w:t>
      </w:r>
      <w:r w:rsidRPr="009C0321">
        <w:rPr>
          <w:rFonts w:ascii="Times New Roman" w:hAnsi="Times New Roman" w:cs="Times New Roman"/>
          <w:b/>
          <w:szCs w:val="20"/>
        </w:rPr>
        <w:t xml:space="preserve">с </w:t>
      </w:r>
      <w:r w:rsidR="00ED3053" w:rsidRPr="009C0321">
        <w:rPr>
          <w:rFonts w:ascii="Times New Roman" w:hAnsi="Times New Roman" w:cs="Times New Roman"/>
          <w:b/>
          <w:bCs/>
          <w:szCs w:val="20"/>
        </w:rPr>
        <w:t>22 декабря 2025</w:t>
      </w:r>
      <w:r w:rsidRPr="009C0321">
        <w:rPr>
          <w:rFonts w:ascii="Times New Roman" w:hAnsi="Times New Roman" w:cs="Times New Roman"/>
          <w:b/>
          <w:bCs/>
          <w:szCs w:val="20"/>
        </w:rPr>
        <w:t xml:space="preserve"> </w:t>
      </w:r>
      <w:r w:rsidR="00457352">
        <w:rPr>
          <w:rFonts w:ascii="Times New Roman" w:hAnsi="Times New Roman" w:cs="Times New Roman"/>
          <w:b/>
          <w:bCs/>
          <w:szCs w:val="20"/>
        </w:rPr>
        <w:t xml:space="preserve">г. </w:t>
      </w:r>
      <w:r w:rsidRPr="009C0321">
        <w:rPr>
          <w:rFonts w:ascii="Times New Roman" w:hAnsi="Times New Roman" w:cs="Times New Roman"/>
          <w:b/>
          <w:bCs/>
          <w:szCs w:val="20"/>
        </w:rPr>
        <w:t xml:space="preserve">по </w:t>
      </w:r>
      <w:r w:rsidR="00ED3053" w:rsidRPr="009C0321">
        <w:rPr>
          <w:rFonts w:ascii="Times New Roman" w:hAnsi="Times New Roman" w:cs="Times New Roman"/>
          <w:b/>
          <w:bCs/>
          <w:szCs w:val="20"/>
        </w:rPr>
        <w:t>14 января 2026</w:t>
      </w:r>
      <w:r w:rsidR="005F241A" w:rsidRPr="009C0321">
        <w:rPr>
          <w:rFonts w:ascii="Times New Roman" w:hAnsi="Times New Roman" w:cs="Times New Roman"/>
          <w:b/>
          <w:bCs/>
          <w:szCs w:val="20"/>
        </w:rPr>
        <w:t xml:space="preserve"> г</w:t>
      </w:r>
      <w:r w:rsidRPr="009C0321">
        <w:rPr>
          <w:rFonts w:ascii="Times New Roman" w:hAnsi="Times New Roman" w:cs="Times New Roman"/>
          <w:szCs w:val="20"/>
        </w:rPr>
        <w:t xml:space="preserve">. </w:t>
      </w:r>
    </w:p>
    <w:p w14:paraId="2CCAC6C6" w14:textId="77777777" w:rsidR="00AA259D" w:rsidRPr="009C0321" w:rsidRDefault="00AA259D"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t xml:space="preserve">Заявление на участие в аукционе подается с приложением следующих документов: заверенная банком копия платежного документа о внесении суммы задатка на расчетный счет организатора торгов; копия документа, подтверждающего государственную регистрацию юридического лица или </w:t>
      </w:r>
      <w:r w:rsidR="00817112" w:rsidRPr="009C0321">
        <w:rPr>
          <w:rFonts w:ascii="Times New Roman" w:hAnsi="Times New Roman" w:cs="Times New Roman"/>
          <w:szCs w:val="20"/>
        </w:rPr>
        <w:t>индивидуального предпринимателя</w:t>
      </w:r>
      <w:r w:rsidRPr="009C0321">
        <w:rPr>
          <w:rFonts w:ascii="Times New Roman" w:hAnsi="Times New Roman" w:cs="Times New Roman"/>
          <w:szCs w:val="20"/>
        </w:rPr>
        <w:t>; эскиз средства наружной рекламы, выполненный в цвете на бумажном носителе в формате А4 или электронном носителе. Физическим лицом, в том числе индивидуальным предпринимателем предоставляется документ, удостоверяющий личность; представителем физического лица, индивидуального пред</w:t>
      </w:r>
      <w:r w:rsidR="00860ADA" w:rsidRPr="009C0321">
        <w:rPr>
          <w:rFonts w:ascii="Times New Roman" w:hAnsi="Times New Roman" w:cs="Times New Roman"/>
          <w:szCs w:val="20"/>
        </w:rPr>
        <w:t>принимателя, юридического лица –</w:t>
      </w:r>
      <w:r w:rsidRPr="009C0321">
        <w:rPr>
          <w:rFonts w:ascii="Times New Roman" w:hAnsi="Times New Roman" w:cs="Times New Roman"/>
          <w:szCs w:val="20"/>
        </w:rPr>
        <w:t xml:space="preserve"> оригинал документа, подтверждающего его полномочия, и документ, удостоверяющий личность.</w:t>
      </w:r>
    </w:p>
    <w:p w14:paraId="7A386993" w14:textId="77777777" w:rsidR="00C234B5" w:rsidRPr="009C0321" w:rsidRDefault="00761449"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t>Аукцион проводится в соответствии с Положением о порядке проведения торгов на право размещения средств рекламы на недвижимом имуществе, утверждённым Постановлением Совета Министров Республики Беларусь от 7 июля 2021 г. № 395. До начала аукциона его участники проходят регистрацию (в т.ч. доводится информация о затратах на организацию и проведение аукциона). Аукцион проводит аукционист, определяемый организатором торгов. Аукцион начинается с оглашения аукционистом правил проведения аукциона, начальной цены, шага аукциона. Шаг аукциона: от 5 до 15 процентов от предыдущей цены предмета аукциона. Не допускается продажа предмета аукциона по начальной цене. Аукцион продолжается до тех пор, пока по новой объявленной аукционистом цене аукционный номер поднимет только один участник. Аукционист трижды называет цену, по которой продан предмет аукциона, и объявляет о продаже данного предмета аукциона, а также сообщает номер участника, выигравшего аукцион по данному предмету аукциона, который является победителем аукциона. Аукцион по конкретному предмету аукциона признается несостоявшимся, о чем комиссией составляется протокол о признании аукциона несостоявшимися, если заявление на участие в нем подано только одним участником, или для участия в аукционе не было подано ни одного заявления, или на аукцион явился один из участников, или ни один из участников не явился на аукцион.</w:t>
      </w:r>
      <w:r w:rsidR="00C234B5" w:rsidRPr="009C0321">
        <w:rPr>
          <w:rFonts w:ascii="Times New Roman" w:hAnsi="Times New Roman" w:cs="Times New Roman"/>
          <w:szCs w:val="20"/>
        </w:rPr>
        <w:t xml:space="preserve"> </w:t>
      </w:r>
    </w:p>
    <w:p w14:paraId="61372FD3" w14:textId="77777777" w:rsidR="0001263E" w:rsidRPr="009C0321" w:rsidRDefault="00761449"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lastRenderedPageBreak/>
        <w:t>Если аукцион признан несостоявшимся в силу того, что заявление на участие в нем подано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w:t>
      </w:r>
    </w:p>
    <w:p w14:paraId="1D32A292" w14:textId="77777777" w:rsidR="00456E24" w:rsidRPr="009C0321" w:rsidRDefault="00456E24"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t>Для получения разрешения на размещение средства наружной рекламы рекламораспространитель (победитель аукциона) представляет в Гродненский городской исполнительный комитет заявление и иные документы, предусмотренные в регламенте административной процедуры по выдаче разрешения на размещение средства наружной рекламы, не позднее 10 рабочих дней со дня утверждения протокола о результатах торгов.</w:t>
      </w:r>
    </w:p>
    <w:p w14:paraId="3A938A9D" w14:textId="77777777" w:rsidR="00456E24" w:rsidRPr="009C0321" w:rsidRDefault="00456E24"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t>Гродненский городской исполнительный комитет и рекламораспространитель (победитель аукциона) в течение 10 рабочих дней со дня регистрации заявления заключают договор на размещение средства наружной рекламы, в соответствии с которым победителю аукциона предоставляется право на использование городской среды в рекламных целях.</w:t>
      </w:r>
    </w:p>
    <w:p w14:paraId="49397F21" w14:textId="77777777" w:rsidR="00456E24" w:rsidRPr="009C0321" w:rsidRDefault="00456E24"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t>Рекламораспространитель (победитель аукциона):</w:t>
      </w:r>
    </w:p>
    <w:p w14:paraId="3DCEE383" w14:textId="77777777" w:rsidR="00456E24" w:rsidRPr="009C0321" w:rsidRDefault="00703D2B"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t>-</w:t>
      </w:r>
      <w:r w:rsidR="00456E24" w:rsidRPr="009C0321">
        <w:rPr>
          <w:rFonts w:ascii="Times New Roman" w:hAnsi="Times New Roman" w:cs="Times New Roman"/>
          <w:szCs w:val="20"/>
        </w:rPr>
        <w:t>самостоятельно получает технические условия и изготавливает проект на электроснабжение средства наружной рекламы, с учетом требований СП 4.04.01-2022 (если это требуется). При производстве строительно-монтажных работ руководствуется Правилами по охране труда при выполнении строительных работ (Постановление № 24/33 от 31.05.2019г. Министерства труда и социальной защиты Республики Беларусь и Министерства архитектуры и строительства Республики Беларусь).</w:t>
      </w:r>
    </w:p>
    <w:p w14:paraId="44FB0037" w14:textId="77777777" w:rsidR="00456E24" w:rsidRPr="009C0321" w:rsidRDefault="00456E24"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t>-размещает средство наружной рекламы в течение двух месяцев со дня выдачи разрешения на размещение средства наружной рекламы.</w:t>
      </w:r>
    </w:p>
    <w:p w14:paraId="6C441FD6" w14:textId="77777777" w:rsidR="00456E24" w:rsidRPr="009C0321" w:rsidRDefault="00456E24"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t xml:space="preserve">-несет ответственность за несущую способность, монтаж и эксплуатацию средства наружной рекламы, и разрабатывает техническую документацию на конструкцию. Монтаж средства наружной рекламы, осуществляет из элементов заводского изготовления, в соответствии с действующими строительными и нормативно-техническими требованиями. </w:t>
      </w:r>
    </w:p>
    <w:p w14:paraId="0C863720" w14:textId="77777777" w:rsidR="00456E24" w:rsidRPr="009C0321" w:rsidRDefault="00456E24" w:rsidP="009C0321">
      <w:pPr>
        <w:tabs>
          <w:tab w:val="left" w:pos="0"/>
        </w:tabs>
        <w:spacing w:after="0" w:line="240" w:lineRule="auto"/>
        <w:ind w:right="-28"/>
        <w:jc w:val="both"/>
        <w:rPr>
          <w:rFonts w:ascii="Times New Roman" w:hAnsi="Times New Roman" w:cs="Times New Roman"/>
          <w:szCs w:val="20"/>
        </w:rPr>
      </w:pPr>
      <w:r w:rsidRPr="009C0321">
        <w:rPr>
          <w:rFonts w:ascii="Times New Roman" w:hAnsi="Times New Roman" w:cs="Times New Roman"/>
          <w:szCs w:val="20"/>
        </w:rPr>
        <w:t>-обязан содержать средство наружной рекламы в надлежащем техническом и эстетическом состоянии.</w:t>
      </w:r>
    </w:p>
    <w:p w14:paraId="13FD8D23" w14:textId="77777777" w:rsidR="0094409C" w:rsidRPr="009C0321" w:rsidRDefault="00456E24" w:rsidP="009C0321">
      <w:pPr>
        <w:tabs>
          <w:tab w:val="left" w:pos="0"/>
        </w:tabs>
        <w:spacing w:after="0" w:line="240" w:lineRule="auto"/>
        <w:ind w:right="-28"/>
        <w:jc w:val="both"/>
        <w:rPr>
          <w:rFonts w:ascii="Times New Roman" w:hAnsi="Times New Roman" w:cs="Times New Roman"/>
          <w:color w:val="FF0000"/>
          <w:szCs w:val="20"/>
        </w:rPr>
      </w:pPr>
      <w:r w:rsidRPr="009C0321">
        <w:rPr>
          <w:rFonts w:ascii="Times New Roman" w:hAnsi="Times New Roman" w:cs="Times New Roman"/>
          <w:szCs w:val="20"/>
        </w:rPr>
        <w:t>-после окончания размещения средства наружной рекламы обязан демонтировать рекламную конструкцию (наземную часть и фундамент), восстановить газонное и/или тротуарное покрытие.</w:t>
      </w:r>
    </w:p>
    <w:sectPr w:rsidR="0094409C" w:rsidRPr="009C0321" w:rsidSect="00602716">
      <w:pgSz w:w="16838" w:h="11906" w:orient="landscape"/>
      <w:pgMar w:top="568" w:right="820" w:bottom="709"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42A85"/>
    <w:multiLevelType w:val="hybridMultilevel"/>
    <w:tmpl w:val="EDACA246"/>
    <w:lvl w:ilvl="0" w:tplc="3F4E141A">
      <w:start w:val="7"/>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39D9714C"/>
    <w:multiLevelType w:val="hybridMultilevel"/>
    <w:tmpl w:val="9B160B4E"/>
    <w:lvl w:ilvl="0" w:tplc="3F4E141A">
      <w:start w:val="7"/>
      <w:numFmt w:val="bullet"/>
      <w:lvlText w:val=""/>
      <w:lvlJc w:val="left"/>
      <w:pPr>
        <w:ind w:left="765" w:hanging="360"/>
      </w:pPr>
      <w:rPr>
        <w:rFonts w:ascii="Symbol" w:eastAsia="Times New Roman" w:hAnsi="Symbol" w:hint="default"/>
      </w:rPr>
    </w:lvl>
    <w:lvl w:ilvl="1" w:tplc="04190003">
      <w:start w:val="1"/>
      <w:numFmt w:val="bullet"/>
      <w:lvlText w:val="o"/>
      <w:lvlJc w:val="left"/>
      <w:pPr>
        <w:ind w:left="1485" w:hanging="360"/>
      </w:pPr>
      <w:rPr>
        <w:rFonts w:ascii="Courier New" w:hAnsi="Courier New" w:cs="Courier New" w:hint="default"/>
      </w:rPr>
    </w:lvl>
    <w:lvl w:ilvl="2" w:tplc="04190005">
      <w:start w:val="1"/>
      <w:numFmt w:val="bullet"/>
      <w:lvlText w:val=""/>
      <w:lvlJc w:val="left"/>
      <w:pPr>
        <w:ind w:left="2205" w:hanging="360"/>
      </w:pPr>
      <w:rPr>
        <w:rFonts w:ascii="Wingdings" w:hAnsi="Wingdings" w:cs="Wingdings" w:hint="default"/>
      </w:rPr>
    </w:lvl>
    <w:lvl w:ilvl="3" w:tplc="04190001">
      <w:start w:val="1"/>
      <w:numFmt w:val="bullet"/>
      <w:lvlText w:val=""/>
      <w:lvlJc w:val="left"/>
      <w:pPr>
        <w:ind w:left="2925" w:hanging="360"/>
      </w:pPr>
      <w:rPr>
        <w:rFonts w:ascii="Symbol" w:hAnsi="Symbol" w:cs="Symbol" w:hint="default"/>
      </w:rPr>
    </w:lvl>
    <w:lvl w:ilvl="4" w:tplc="04190003">
      <w:start w:val="1"/>
      <w:numFmt w:val="bullet"/>
      <w:lvlText w:val="o"/>
      <w:lvlJc w:val="left"/>
      <w:pPr>
        <w:ind w:left="3645" w:hanging="360"/>
      </w:pPr>
      <w:rPr>
        <w:rFonts w:ascii="Courier New" w:hAnsi="Courier New" w:cs="Courier New" w:hint="default"/>
      </w:rPr>
    </w:lvl>
    <w:lvl w:ilvl="5" w:tplc="04190005">
      <w:start w:val="1"/>
      <w:numFmt w:val="bullet"/>
      <w:lvlText w:val=""/>
      <w:lvlJc w:val="left"/>
      <w:pPr>
        <w:ind w:left="4365" w:hanging="360"/>
      </w:pPr>
      <w:rPr>
        <w:rFonts w:ascii="Wingdings" w:hAnsi="Wingdings" w:cs="Wingdings" w:hint="default"/>
      </w:rPr>
    </w:lvl>
    <w:lvl w:ilvl="6" w:tplc="04190001">
      <w:start w:val="1"/>
      <w:numFmt w:val="bullet"/>
      <w:lvlText w:val=""/>
      <w:lvlJc w:val="left"/>
      <w:pPr>
        <w:ind w:left="5085" w:hanging="360"/>
      </w:pPr>
      <w:rPr>
        <w:rFonts w:ascii="Symbol" w:hAnsi="Symbol" w:cs="Symbol" w:hint="default"/>
      </w:rPr>
    </w:lvl>
    <w:lvl w:ilvl="7" w:tplc="04190003">
      <w:start w:val="1"/>
      <w:numFmt w:val="bullet"/>
      <w:lvlText w:val="o"/>
      <w:lvlJc w:val="left"/>
      <w:pPr>
        <w:ind w:left="5805" w:hanging="360"/>
      </w:pPr>
      <w:rPr>
        <w:rFonts w:ascii="Courier New" w:hAnsi="Courier New" w:cs="Courier New" w:hint="default"/>
      </w:rPr>
    </w:lvl>
    <w:lvl w:ilvl="8" w:tplc="04190005">
      <w:start w:val="1"/>
      <w:numFmt w:val="bullet"/>
      <w:lvlText w:val=""/>
      <w:lvlJc w:val="left"/>
      <w:pPr>
        <w:ind w:left="6525" w:hanging="360"/>
      </w:pPr>
      <w:rPr>
        <w:rFonts w:ascii="Wingdings" w:hAnsi="Wingdings" w:cs="Wingdings" w:hint="default"/>
      </w:rPr>
    </w:lvl>
  </w:abstractNum>
  <w:abstractNum w:abstractNumId="2" w15:restartNumberingAfterBreak="0">
    <w:nsid w:val="45E11A0F"/>
    <w:multiLevelType w:val="hybridMultilevel"/>
    <w:tmpl w:val="C3F8AB84"/>
    <w:lvl w:ilvl="0" w:tplc="3F4E141A">
      <w:start w:val="7"/>
      <w:numFmt w:val="bullet"/>
      <w:lvlText w:val=""/>
      <w:lvlJc w:val="left"/>
      <w:pPr>
        <w:ind w:left="360" w:hanging="360"/>
      </w:pPr>
      <w:rPr>
        <w:rFonts w:ascii="Symbol" w:eastAsia="Times New Roman"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cs="Wingdings" w:hint="default"/>
      </w:rPr>
    </w:lvl>
    <w:lvl w:ilvl="3" w:tplc="04190001">
      <w:start w:val="1"/>
      <w:numFmt w:val="bullet"/>
      <w:lvlText w:val=""/>
      <w:lvlJc w:val="left"/>
      <w:pPr>
        <w:ind w:left="2520" w:hanging="360"/>
      </w:pPr>
      <w:rPr>
        <w:rFonts w:ascii="Symbol" w:hAnsi="Symbol" w:cs="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cs="Wingdings" w:hint="default"/>
      </w:rPr>
    </w:lvl>
    <w:lvl w:ilvl="6" w:tplc="04190001">
      <w:start w:val="1"/>
      <w:numFmt w:val="bullet"/>
      <w:lvlText w:val=""/>
      <w:lvlJc w:val="left"/>
      <w:pPr>
        <w:ind w:left="4680" w:hanging="360"/>
      </w:pPr>
      <w:rPr>
        <w:rFonts w:ascii="Symbol" w:hAnsi="Symbol" w:cs="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81E"/>
    <w:rsid w:val="00006F46"/>
    <w:rsid w:val="0001263E"/>
    <w:rsid w:val="00012934"/>
    <w:rsid w:val="00012D61"/>
    <w:rsid w:val="00017E61"/>
    <w:rsid w:val="00020B67"/>
    <w:rsid w:val="000277B8"/>
    <w:rsid w:val="00044DFD"/>
    <w:rsid w:val="00090C9C"/>
    <w:rsid w:val="000956F9"/>
    <w:rsid w:val="000A12CF"/>
    <w:rsid w:val="000A4B2F"/>
    <w:rsid w:val="000B13BC"/>
    <w:rsid w:val="000B1543"/>
    <w:rsid w:val="000B5181"/>
    <w:rsid w:val="000C3980"/>
    <w:rsid w:val="000F42A0"/>
    <w:rsid w:val="0010252D"/>
    <w:rsid w:val="00106202"/>
    <w:rsid w:val="00121760"/>
    <w:rsid w:val="00141ABC"/>
    <w:rsid w:val="00146DE2"/>
    <w:rsid w:val="001538EA"/>
    <w:rsid w:val="001542F4"/>
    <w:rsid w:val="0016110C"/>
    <w:rsid w:val="00163B34"/>
    <w:rsid w:val="00166569"/>
    <w:rsid w:val="00182448"/>
    <w:rsid w:val="00182CB5"/>
    <w:rsid w:val="001B631C"/>
    <w:rsid w:val="001B67F7"/>
    <w:rsid w:val="001C2F32"/>
    <w:rsid w:val="001C6FBC"/>
    <w:rsid w:val="001E2AEB"/>
    <w:rsid w:val="001E67D1"/>
    <w:rsid w:val="002218BD"/>
    <w:rsid w:val="00223056"/>
    <w:rsid w:val="002360E1"/>
    <w:rsid w:val="0025149C"/>
    <w:rsid w:val="00256EFE"/>
    <w:rsid w:val="00264991"/>
    <w:rsid w:val="0027206B"/>
    <w:rsid w:val="00283409"/>
    <w:rsid w:val="0029153B"/>
    <w:rsid w:val="0029719A"/>
    <w:rsid w:val="002A5FBF"/>
    <w:rsid w:val="002B7811"/>
    <w:rsid w:val="002C2348"/>
    <w:rsid w:val="002C496C"/>
    <w:rsid w:val="002C5C12"/>
    <w:rsid w:val="002D4D36"/>
    <w:rsid w:val="002D71EC"/>
    <w:rsid w:val="002D7450"/>
    <w:rsid w:val="002F0305"/>
    <w:rsid w:val="002F4CFE"/>
    <w:rsid w:val="002F6A45"/>
    <w:rsid w:val="002F7A53"/>
    <w:rsid w:val="0031452F"/>
    <w:rsid w:val="003349A4"/>
    <w:rsid w:val="00335202"/>
    <w:rsid w:val="003359CD"/>
    <w:rsid w:val="00343EC3"/>
    <w:rsid w:val="003456D2"/>
    <w:rsid w:val="00353BFB"/>
    <w:rsid w:val="00357201"/>
    <w:rsid w:val="00373CE6"/>
    <w:rsid w:val="00382526"/>
    <w:rsid w:val="0038516F"/>
    <w:rsid w:val="003946EF"/>
    <w:rsid w:val="003B2B9B"/>
    <w:rsid w:val="003B3F69"/>
    <w:rsid w:val="003E0BF1"/>
    <w:rsid w:val="00402F7F"/>
    <w:rsid w:val="00421464"/>
    <w:rsid w:val="004321A9"/>
    <w:rsid w:val="004441BE"/>
    <w:rsid w:val="0044633A"/>
    <w:rsid w:val="00456E24"/>
    <w:rsid w:val="00457352"/>
    <w:rsid w:val="00457666"/>
    <w:rsid w:val="00461FA8"/>
    <w:rsid w:val="004723E0"/>
    <w:rsid w:val="0047332A"/>
    <w:rsid w:val="00475667"/>
    <w:rsid w:val="00477765"/>
    <w:rsid w:val="00483863"/>
    <w:rsid w:val="00486B68"/>
    <w:rsid w:val="00491657"/>
    <w:rsid w:val="004918CA"/>
    <w:rsid w:val="004A0BF2"/>
    <w:rsid w:val="004D007E"/>
    <w:rsid w:val="004E43D9"/>
    <w:rsid w:val="00511053"/>
    <w:rsid w:val="00512F77"/>
    <w:rsid w:val="00513885"/>
    <w:rsid w:val="005200B5"/>
    <w:rsid w:val="00523CDA"/>
    <w:rsid w:val="00537E7C"/>
    <w:rsid w:val="00541B26"/>
    <w:rsid w:val="005421E5"/>
    <w:rsid w:val="00575308"/>
    <w:rsid w:val="00594133"/>
    <w:rsid w:val="0059454B"/>
    <w:rsid w:val="005A62AC"/>
    <w:rsid w:val="005B3FD1"/>
    <w:rsid w:val="005B77CF"/>
    <w:rsid w:val="005D2B95"/>
    <w:rsid w:val="005E00AB"/>
    <w:rsid w:val="005F21B4"/>
    <w:rsid w:val="005F241A"/>
    <w:rsid w:val="005F3653"/>
    <w:rsid w:val="005F7716"/>
    <w:rsid w:val="00602716"/>
    <w:rsid w:val="0060327B"/>
    <w:rsid w:val="0060381E"/>
    <w:rsid w:val="006236E4"/>
    <w:rsid w:val="00624DAC"/>
    <w:rsid w:val="006262E6"/>
    <w:rsid w:val="00631BD9"/>
    <w:rsid w:val="006377B7"/>
    <w:rsid w:val="006403C4"/>
    <w:rsid w:val="00644858"/>
    <w:rsid w:val="00647F65"/>
    <w:rsid w:val="00650F26"/>
    <w:rsid w:val="0065786B"/>
    <w:rsid w:val="00661C2A"/>
    <w:rsid w:val="0066433B"/>
    <w:rsid w:val="006A0F33"/>
    <w:rsid w:val="006C420F"/>
    <w:rsid w:val="006D063A"/>
    <w:rsid w:val="006F52EC"/>
    <w:rsid w:val="00702E9A"/>
    <w:rsid w:val="00703D2B"/>
    <w:rsid w:val="0071381C"/>
    <w:rsid w:val="00717933"/>
    <w:rsid w:val="00720A65"/>
    <w:rsid w:val="00731A8D"/>
    <w:rsid w:val="00732A65"/>
    <w:rsid w:val="00732BDC"/>
    <w:rsid w:val="00756FB7"/>
    <w:rsid w:val="00761449"/>
    <w:rsid w:val="0076328D"/>
    <w:rsid w:val="00763945"/>
    <w:rsid w:val="007642A6"/>
    <w:rsid w:val="00774FC9"/>
    <w:rsid w:val="0077621A"/>
    <w:rsid w:val="0078508A"/>
    <w:rsid w:val="00785E46"/>
    <w:rsid w:val="007873D6"/>
    <w:rsid w:val="00792292"/>
    <w:rsid w:val="007A7E10"/>
    <w:rsid w:val="007B248C"/>
    <w:rsid w:val="007C05AB"/>
    <w:rsid w:val="007D0BFA"/>
    <w:rsid w:val="007D1070"/>
    <w:rsid w:val="007E4922"/>
    <w:rsid w:val="007F3593"/>
    <w:rsid w:val="007F47DA"/>
    <w:rsid w:val="007F4D67"/>
    <w:rsid w:val="007F4DAC"/>
    <w:rsid w:val="007F4E04"/>
    <w:rsid w:val="007F4EC0"/>
    <w:rsid w:val="0080632F"/>
    <w:rsid w:val="00817112"/>
    <w:rsid w:val="00824DFB"/>
    <w:rsid w:val="00826EB0"/>
    <w:rsid w:val="00847D65"/>
    <w:rsid w:val="00850EC1"/>
    <w:rsid w:val="00852913"/>
    <w:rsid w:val="0085488F"/>
    <w:rsid w:val="00860ADA"/>
    <w:rsid w:val="008628E2"/>
    <w:rsid w:val="00865C3D"/>
    <w:rsid w:val="00865D5B"/>
    <w:rsid w:val="00870C8F"/>
    <w:rsid w:val="008715FB"/>
    <w:rsid w:val="00874F66"/>
    <w:rsid w:val="008943C7"/>
    <w:rsid w:val="008B0D81"/>
    <w:rsid w:val="008D196F"/>
    <w:rsid w:val="008D6988"/>
    <w:rsid w:val="008E3D27"/>
    <w:rsid w:val="008E5357"/>
    <w:rsid w:val="008F1CCF"/>
    <w:rsid w:val="008F43DA"/>
    <w:rsid w:val="008F6985"/>
    <w:rsid w:val="00905857"/>
    <w:rsid w:val="00907361"/>
    <w:rsid w:val="00917C2A"/>
    <w:rsid w:val="009224E5"/>
    <w:rsid w:val="00925474"/>
    <w:rsid w:val="00926F0A"/>
    <w:rsid w:val="0094409C"/>
    <w:rsid w:val="009442BD"/>
    <w:rsid w:val="009731BE"/>
    <w:rsid w:val="009770FF"/>
    <w:rsid w:val="00977AE0"/>
    <w:rsid w:val="009876F3"/>
    <w:rsid w:val="00996A24"/>
    <w:rsid w:val="009A370A"/>
    <w:rsid w:val="009B782E"/>
    <w:rsid w:val="009C0321"/>
    <w:rsid w:val="009D37A7"/>
    <w:rsid w:val="009D6914"/>
    <w:rsid w:val="009E7785"/>
    <w:rsid w:val="009F558D"/>
    <w:rsid w:val="00A00AAC"/>
    <w:rsid w:val="00A1022F"/>
    <w:rsid w:val="00A131D2"/>
    <w:rsid w:val="00A14C04"/>
    <w:rsid w:val="00A14C8A"/>
    <w:rsid w:val="00A534C9"/>
    <w:rsid w:val="00A60B71"/>
    <w:rsid w:val="00A64167"/>
    <w:rsid w:val="00A67AC4"/>
    <w:rsid w:val="00A70C3B"/>
    <w:rsid w:val="00A76383"/>
    <w:rsid w:val="00A80107"/>
    <w:rsid w:val="00A8630C"/>
    <w:rsid w:val="00A96949"/>
    <w:rsid w:val="00AA259D"/>
    <w:rsid w:val="00AA3D6F"/>
    <w:rsid w:val="00AA7069"/>
    <w:rsid w:val="00AD53CE"/>
    <w:rsid w:val="00AD5E4D"/>
    <w:rsid w:val="00AD7DB3"/>
    <w:rsid w:val="00AE1AA3"/>
    <w:rsid w:val="00AF493F"/>
    <w:rsid w:val="00AF63FB"/>
    <w:rsid w:val="00B049ED"/>
    <w:rsid w:val="00B04A97"/>
    <w:rsid w:val="00B13947"/>
    <w:rsid w:val="00B156D4"/>
    <w:rsid w:val="00B158E2"/>
    <w:rsid w:val="00B1742D"/>
    <w:rsid w:val="00B348BD"/>
    <w:rsid w:val="00B35EF3"/>
    <w:rsid w:val="00B4002E"/>
    <w:rsid w:val="00B57FBA"/>
    <w:rsid w:val="00B63E1C"/>
    <w:rsid w:val="00B8298E"/>
    <w:rsid w:val="00B92A03"/>
    <w:rsid w:val="00BB57EB"/>
    <w:rsid w:val="00BC577C"/>
    <w:rsid w:val="00BD0EF2"/>
    <w:rsid w:val="00BD7535"/>
    <w:rsid w:val="00BE577E"/>
    <w:rsid w:val="00BF0BE0"/>
    <w:rsid w:val="00BF738C"/>
    <w:rsid w:val="00C045E1"/>
    <w:rsid w:val="00C234B5"/>
    <w:rsid w:val="00C33ACB"/>
    <w:rsid w:val="00C466B8"/>
    <w:rsid w:val="00C5737A"/>
    <w:rsid w:val="00C65629"/>
    <w:rsid w:val="00C744FD"/>
    <w:rsid w:val="00C77351"/>
    <w:rsid w:val="00C77904"/>
    <w:rsid w:val="00C85A47"/>
    <w:rsid w:val="00C86321"/>
    <w:rsid w:val="00C905A0"/>
    <w:rsid w:val="00C90942"/>
    <w:rsid w:val="00C91683"/>
    <w:rsid w:val="00C94EFC"/>
    <w:rsid w:val="00C97487"/>
    <w:rsid w:val="00CB33E5"/>
    <w:rsid w:val="00CC3A02"/>
    <w:rsid w:val="00CD2A73"/>
    <w:rsid w:val="00CD5544"/>
    <w:rsid w:val="00CD6AB0"/>
    <w:rsid w:val="00CD6D29"/>
    <w:rsid w:val="00CE1F1B"/>
    <w:rsid w:val="00CF4D4A"/>
    <w:rsid w:val="00D07AE5"/>
    <w:rsid w:val="00D218A8"/>
    <w:rsid w:val="00D30DE1"/>
    <w:rsid w:val="00D37E13"/>
    <w:rsid w:val="00D43D7B"/>
    <w:rsid w:val="00D60A34"/>
    <w:rsid w:val="00D8725F"/>
    <w:rsid w:val="00D9393A"/>
    <w:rsid w:val="00D93E57"/>
    <w:rsid w:val="00DA6147"/>
    <w:rsid w:val="00DB3128"/>
    <w:rsid w:val="00DD24E4"/>
    <w:rsid w:val="00DF07DC"/>
    <w:rsid w:val="00DF79A9"/>
    <w:rsid w:val="00E070BD"/>
    <w:rsid w:val="00E151E8"/>
    <w:rsid w:val="00E17F7C"/>
    <w:rsid w:val="00E23E76"/>
    <w:rsid w:val="00E279E0"/>
    <w:rsid w:val="00E328B0"/>
    <w:rsid w:val="00E37356"/>
    <w:rsid w:val="00E411F0"/>
    <w:rsid w:val="00E4159E"/>
    <w:rsid w:val="00E428B6"/>
    <w:rsid w:val="00E526B1"/>
    <w:rsid w:val="00E52D72"/>
    <w:rsid w:val="00E62BDF"/>
    <w:rsid w:val="00E66D7A"/>
    <w:rsid w:val="00E773EA"/>
    <w:rsid w:val="00E7776D"/>
    <w:rsid w:val="00E85993"/>
    <w:rsid w:val="00E975EF"/>
    <w:rsid w:val="00EB5952"/>
    <w:rsid w:val="00EC3C17"/>
    <w:rsid w:val="00EC4926"/>
    <w:rsid w:val="00EC49E1"/>
    <w:rsid w:val="00ED3053"/>
    <w:rsid w:val="00F01AD4"/>
    <w:rsid w:val="00F03768"/>
    <w:rsid w:val="00F2431A"/>
    <w:rsid w:val="00F256B7"/>
    <w:rsid w:val="00F30509"/>
    <w:rsid w:val="00F315BD"/>
    <w:rsid w:val="00F31AD1"/>
    <w:rsid w:val="00F326AF"/>
    <w:rsid w:val="00F34837"/>
    <w:rsid w:val="00F40F56"/>
    <w:rsid w:val="00F41FB2"/>
    <w:rsid w:val="00F513AF"/>
    <w:rsid w:val="00F54CE8"/>
    <w:rsid w:val="00F57906"/>
    <w:rsid w:val="00F6379A"/>
    <w:rsid w:val="00F77DC4"/>
    <w:rsid w:val="00F77F22"/>
    <w:rsid w:val="00F832DE"/>
    <w:rsid w:val="00F838E7"/>
    <w:rsid w:val="00F86F18"/>
    <w:rsid w:val="00F93C97"/>
    <w:rsid w:val="00F942C9"/>
    <w:rsid w:val="00F97356"/>
    <w:rsid w:val="00F97AC3"/>
    <w:rsid w:val="00FC3838"/>
    <w:rsid w:val="00FD6AAE"/>
    <w:rsid w:val="00FE2ADE"/>
    <w:rsid w:val="00FE419C"/>
    <w:rsid w:val="00FF06AB"/>
    <w:rsid w:val="00FF3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1AD85"/>
  <w15:chartTrackingRefBased/>
  <w15:docId w15:val="{6E4C5D59-13AE-4B9C-9E83-86BA4FEB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308"/>
    <w:pPr>
      <w:spacing w:after="200" w:line="276" w:lineRule="auto"/>
    </w:pPr>
    <w:rPr>
      <w:rFonts w:ascii="Calibri" w:eastAsia="Calibri" w:hAnsi="Calibri" w:cs="Calibri"/>
      <w:sz w:val="22"/>
      <w:szCs w:val="22"/>
      <w:lang w:eastAsia="en-US"/>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List Paragraph"/>
    <w:basedOn w:val="a"/>
    <w:qFormat/>
    <w:rsid w:val="00575308"/>
    <w:pPr>
      <w:ind w:left="720"/>
    </w:pPr>
  </w:style>
  <w:style w:type="paragraph" w:customStyle="1" w:styleId="a1">
    <w:name w:val="Знак"/>
    <w:basedOn w:val="a"/>
    <w:link w:val="a0"/>
    <w:autoRedefine/>
    <w:rsid w:val="004723E0"/>
    <w:pPr>
      <w:spacing w:after="160" w:line="240" w:lineRule="exact"/>
    </w:pPr>
    <w:rPr>
      <w:rFonts w:ascii="Times New Roman" w:eastAsia="SimSun" w:hAnsi="Times New Roman" w:cs="Times New Roman"/>
      <w:b/>
      <w:bCs/>
      <w:sz w:val="28"/>
      <w:szCs w:val="28"/>
      <w:lang w:val="en-US"/>
    </w:rPr>
  </w:style>
  <w:style w:type="paragraph" w:styleId="a5">
    <w:name w:val="Balloon Text"/>
    <w:basedOn w:val="a"/>
    <w:link w:val="a6"/>
    <w:uiPriority w:val="99"/>
    <w:semiHidden/>
    <w:unhideWhenUsed/>
    <w:rsid w:val="000F42A0"/>
    <w:pPr>
      <w:spacing w:after="0" w:line="240" w:lineRule="auto"/>
    </w:pPr>
    <w:rPr>
      <w:rFonts w:ascii="Segoe UI" w:hAnsi="Segoe UI" w:cs="Segoe UI"/>
      <w:sz w:val="18"/>
      <w:szCs w:val="18"/>
    </w:rPr>
  </w:style>
  <w:style w:type="character" w:customStyle="1" w:styleId="a6">
    <w:name w:val="Текст выноски Знак"/>
    <w:link w:val="a5"/>
    <w:uiPriority w:val="99"/>
    <w:semiHidden/>
    <w:rsid w:val="000F42A0"/>
    <w:rPr>
      <w:rFonts w:ascii="Segoe UI" w:eastAsia="Calibri" w:hAnsi="Segoe UI" w:cs="Segoe UI"/>
      <w:sz w:val="18"/>
      <w:szCs w:val="18"/>
      <w:lang w:eastAsia="en-US"/>
    </w:rPr>
  </w:style>
  <w:style w:type="character" w:styleId="a7">
    <w:name w:val="Hyperlink"/>
    <w:uiPriority w:val="99"/>
    <w:unhideWhenUsed/>
    <w:rsid w:val="00E17F7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571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1021</Words>
  <Characters>5822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Информация об открытом аукционе по продаже права размещения средств наружной рекламы на объектах коммунальной собственности </vt:lpstr>
    </vt:vector>
  </TitlesOfParts>
  <Company>Microsoft</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 об открытом аукционе по продаже права размещения средств наружной рекламы на объектах коммунальной собственности</dc:title>
  <dc:subject/>
  <dc:creator>Zver</dc:creator>
  <cp:keywords/>
  <cp:lastModifiedBy>GCN_auction</cp:lastModifiedBy>
  <cp:revision>2</cp:revision>
  <cp:lastPrinted>2025-02-11T11:57:00Z</cp:lastPrinted>
  <dcterms:created xsi:type="dcterms:W3CDTF">2025-12-15T06:03:00Z</dcterms:created>
  <dcterms:modified xsi:type="dcterms:W3CDTF">2025-12-15T06:03:00Z</dcterms:modified>
</cp:coreProperties>
</file>